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DF" w:rsidRDefault="00E359DF" w:rsidP="00D14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E359DF" w:rsidRDefault="00E359DF" w:rsidP="00D14629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решения  Думы Муниципального  образования  Красноуфимский округ «Об установлении ставок  земельного налога  на территории Муниципального образования Красноуфимский округ на 2015 год».</w:t>
      </w:r>
    </w:p>
    <w:p w:rsidR="00E359DF" w:rsidRDefault="00E359DF" w:rsidP="00D14629">
      <w:pPr>
        <w:jc w:val="center"/>
      </w:pPr>
    </w:p>
    <w:p w:rsidR="00E359DF" w:rsidRDefault="00E359DF" w:rsidP="00D14629">
      <w:pPr>
        <w:jc w:val="both"/>
        <w:rPr>
          <w:sz w:val="28"/>
          <w:szCs w:val="28"/>
        </w:rPr>
      </w:pPr>
      <w:r>
        <w:rPr>
          <w:sz w:val="28"/>
          <w:szCs w:val="28"/>
        </w:rPr>
        <w:t>20.10</w:t>
      </w:r>
      <w:r w:rsidRPr="003F0B9F">
        <w:rPr>
          <w:sz w:val="28"/>
          <w:szCs w:val="28"/>
        </w:rPr>
        <w:t>.2014 года.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F0B9F">
        <w:rPr>
          <w:sz w:val="28"/>
          <w:szCs w:val="28"/>
        </w:rPr>
        <w:t>г.Красноуфимск</w:t>
      </w:r>
    </w:p>
    <w:p w:rsidR="00E359DF" w:rsidRDefault="00E359DF" w:rsidP="00D14629">
      <w:pPr>
        <w:jc w:val="both"/>
        <w:rPr>
          <w:sz w:val="28"/>
          <w:szCs w:val="28"/>
        </w:rPr>
      </w:pPr>
    </w:p>
    <w:p w:rsidR="00E359DF" w:rsidRDefault="00E359DF" w:rsidP="00D14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</w:t>
      </w:r>
      <w:r w:rsidRPr="00E317B0">
        <w:rPr>
          <w:sz w:val="28"/>
          <w:szCs w:val="28"/>
        </w:rPr>
        <w:t>25.09.2014 года №250, Ревизионной комиссией МО Красноуфимский округ</w:t>
      </w:r>
      <w:r>
        <w:rPr>
          <w:sz w:val="28"/>
          <w:szCs w:val="28"/>
        </w:rPr>
        <w:t xml:space="preserve">  подготовлено  заключение по результатам экспертизы на проект решения  Думы Муниципального  образования  Красноуфимский округ «Об установлении ставок  земельного налога  на территории Муниципального образования Красноуфимский округ на 2015 год».</w:t>
      </w:r>
    </w:p>
    <w:p w:rsidR="00E359DF" w:rsidRDefault="00E359DF" w:rsidP="005B4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 Думы Муниципального  образования  Красноуфимский округ «Об установлении ставок  земельного налога  на территории Муниципального образования Красноуфимский округ на 2015 год» подготовлен Комитетом по управлению имуществом Муниципального  образования  Красноуфимский округ.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Ревизионную комиссию  Муниципального образования  Красноуфимский округ     для проведения экспертизы  поступили следующие документы: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председателя Комитета по управлению имуществом  Муниципального  образования  Красноуфимский округ от   20.10</w:t>
      </w:r>
      <w:r w:rsidRPr="00A43989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  № 2120</w:t>
      </w:r>
      <w:r w:rsidRPr="00A43989">
        <w:rPr>
          <w:sz w:val="28"/>
          <w:szCs w:val="28"/>
        </w:rPr>
        <w:t xml:space="preserve"> - на 1 листе;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Проект решения Думы Муниципального  образования  Красноуфимский округ «Об установлении ставок  земельного налога  на территории Муниципального образования Красноуфимский округ на 2015 год» (далее проект решения)  на  3 листах.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 проект решения, Ревизионная комиссия Муниципального  образования    Красноуфимский округ     отмечает следующее:</w:t>
      </w:r>
    </w:p>
    <w:p w:rsidR="00E359DF" w:rsidRPr="00A24D15" w:rsidRDefault="00E359DF" w:rsidP="00A24D15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Согласно, представленного проекта решения, вносимые изменения  на 2015 год   обусловлены  приведением  отдельных норм, регулирующих  определение налоговых ставок, налоговых льгот  в соответствии с главой 31 Налогового кодекса Российской   Федерации, а также  направлены  на достижение  максимального  экономического  эффекта от  своевременного  получения  земельного налога  на территории Муниципального  образования    Красноуфимский округ.   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 w:rsidRPr="0063140D">
        <w:rPr>
          <w:sz w:val="28"/>
          <w:szCs w:val="28"/>
        </w:rPr>
        <w:t xml:space="preserve">   На основании ст. 387 гл. 31 «Земельный налог» Налогового кодекса РФ земельный налог устанав</w:t>
      </w:r>
      <w:r>
        <w:rPr>
          <w:sz w:val="28"/>
          <w:szCs w:val="28"/>
        </w:rPr>
        <w:t>ливается Кодексом и нормативным правовым актом представительного органа Муниципального образования</w:t>
      </w:r>
      <w:r w:rsidRPr="0063140D">
        <w:rPr>
          <w:sz w:val="28"/>
          <w:szCs w:val="28"/>
        </w:rPr>
        <w:t>, вводится в действие и прекращает действовать в соотве</w:t>
      </w:r>
      <w:r>
        <w:rPr>
          <w:sz w:val="28"/>
          <w:szCs w:val="28"/>
        </w:rPr>
        <w:t>тствии с Кодексом и нормативным</w:t>
      </w:r>
      <w:r w:rsidRPr="0063140D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 xml:space="preserve">   актом  представительного органа Муниципального образования </w:t>
      </w:r>
      <w:r w:rsidRPr="0063140D">
        <w:rPr>
          <w:sz w:val="28"/>
          <w:szCs w:val="28"/>
        </w:rPr>
        <w:t>и об</w:t>
      </w:r>
      <w:r>
        <w:rPr>
          <w:sz w:val="28"/>
          <w:szCs w:val="28"/>
        </w:rPr>
        <w:t>язателен к уплате на территории Муниципального образования.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Предлагаемыми   изменениями  устанавливаются ставки  земельного налога   не противоречащие  статье 394 Налогового кодекса Российской Федерации.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Предлагаемые  налоговые ставки  земельного налога  корректируются  в отношении земельных участков  следующим образом: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отношении  сельскохозяйственных  угодий (пашни, сенокосы, пастбища) налоговая ставка увеличивается  с 0,1% до 0,3%;  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отношении  земельных участков  в границах  населенных пунктов занятых:</w:t>
      </w:r>
    </w:p>
    <w:p w:rsidR="00E359DF" w:rsidRDefault="00E359DF" w:rsidP="00042F72">
      <w:pPr>
        <w:numPr>
          <w:ilvl w:val="0"/>
          <w:numId w:val="3"/>
        </w:numPr>
        <w:tabs>
          <w:tab w:val="clear" w:pos="1333"/>
          <w:tab w:val="num" w:pos="720"/>
        </w:tabs>
        <w:autoSpaceDE w:val="0"/>
        <w:autoSpaceDN w:val="0"/>
        <w:adjustRightInd w:val="0"/>
        <w:ind w:left="360" w:firstLine="540"/>
        <w:jc w:val="both"/>
        <w:outlineLvl w:val="0"/>
        <w:rPr>
          <w:sz w:val="28"/>
          <w:szCs w:val="28"/>
        </w:rPr>
      </w:pPr>
      <w:r w:rsidRPr="00FE0A26">
        <w:rPr>
          <w:sz w:val="28"/>
          <w:szCs w:val="28"/>
        </w:rPr>
        <w:t>многоэтажны</w:t>
      </w:r>
      <w:r>
        <w:rPr>
          <w:sz w:val="28"/>
          <w:szCs w:val="28"/>
        </w:rPr>
        <w:t xml:space="preserve">ми, средне этажными, малоэтажными жилыми </w:t>
      </w:r>
      <w:r w:rsidRPr="00FE0A26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ами;        </w:t>
      </w:r>
    </w:p>
    <w:p w:rsidR="00E359DF" w:rsidRDefault="00E359DF" w:rsidP="00042F72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общежитиями; </w:t>
      </w:r>
    </w:p>
    <w:p w:rsidR="00E359DF" w:rsidRDefault="00E359DF" w:rsidP="00042F72">
      <w:pPr>
        <w:numPr>
          <w:ilvl w:val="0"/>
          <w:numId w:val="3"/>
        </w:numPr>
        <w:tabs>
          <w:tab w:val="clear" w:pos="1333"/>
          <w:tab w:val="num" w:pos="360"/>
        </w:tabs>
        <w:autoSpaceDE w:val="0"/>
        <w:autoSpaceDN w:val="0"/>
        <w:adjustRightInd w:val="0"/>
        <w:ind w:left="36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объектами индивидуального жилищного строительства и личного подсобного хозяйства (приусадебный участок); </w:t>
      </w:r>
    </w:p>
    <w:p w:rsidR="00E359DF" w:rsidRDefault="00E359DF" w:rsidP="00042F72">
      <w:pPr>
        <w:numPr>
          <w:ilvl w:val="0"/>
          <w:numId w:val="3"/>
        </w:numPr>
        <w:tabs>
          <w:tab w:val="clear" w:pos="1333"/>
          <w:tab w:val="num" w:pos="360"/>
        </w:tabs>
        <w:autoSpaceDE w:val="0"/>
        <w:autoSpaceDN w:val="0"/>
        <w:adjustRightInd w:val="0"/>
        <w:ind w:left="36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A26">
        <w:rPr>
          <w:sz w:val="28"/>
          <w:szCs w:val="28"/>
        </w:rPr>
        <w:t>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комплекса);</w:t>
      </w:r>
    </w:p>
    <w:p w:rsidR="00E359DF" w:rsidRDefault="00E359DF" w:rsidP="00CF56EA">
      <w:pPr>
        <w:numPr>
          <w:ilvl w:val="0"/>
          <w:numId w:val="3"/>
        </w:numPr>
        <w:tabs>
          <w:tab w:val="clear" w:pos="1333"/>
        </w:tabs>
        <w:autoSpaceDE w:val="0"/>
        <w:autoSpaceDN w:val="0"/>
        <w:adjustRightInd w:val="0"/>
        <w:ind w:left="360" w:firstLine="540"/>
        <w:jc w:val="both"/>
        <w:outlineLvl w:val="0"/>
        <w:rPr>
          <w:sz w:val="28"/>
          <w:szCs w:val="28"/>
        </w:rPr>
      </w:pPr>
      <w:r w:rsidRPr="00FE0A26">
        <w:rPr>
          <w:sz w:val="28"/>
          <w:szCs w:val="28"/>
        </w:rPr>
        <w:t xml:space="preserve"> предоставленных для жилищного строительства</w:t>
      </w:r>
      <w:r>
        <w:rPr>
          <w:sz w:val="28"/>
          <w:szCs w:val="28"/>
        </w:rPr>
        <w:t>;</w:t>
      </w:r>
    </w:p>
    <w:p w:rsidR="00E359DF" w:rsidRDefault="00E359DF" w:rsidP="00CF56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налоговая ставка  увеличивается  с 0,2% до 0,3%.</w:t>
      </w:r>
    </w:p>
    <w:p w:rsidR="00E359DF" w:rsidRDefault="00E359DF" w:rsidP="00CF56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9DF" w:rsidRDefault="00E359DF" w:rsidP="00CF56E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3. В</w:t>
      </w:r>
      <w:r w:rsidRPr="00FE0A26">
        <w:rPr>
          <w:sz w:val="28"/>
          <w:szCs w:val="28"/>
        </w:rPr>
        <w:t xml:space="preserve"> отношении земельных участков, отнесенных к землям в составе зон сельскохозяйственного использования и предоста</w:t>
      </w:r>
      <w:r>
        <w:rPr>
          <w:sz w:val="28"/>
          <w:szCs w:val="28"/>
        </w:rPr>
        <w:t>вленных гражданам для сенокосов  налогов  налоговая ставка  увеличивается  с 0,22% до 0,3%.</w:t>
      </w:r>
    </w:p>
    <w:p w:rsidR="00E359DF" w:rsidRPr="00FE0A26" w:rsidRDefault="00E359DF" w:rsidP="00675C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75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E0A26">
        <w:rPr>
          <w:sz w:val="28"/>
          <w:szCs w:val="28"/>
        </w:rPr>
        <w:t xml:space="preserve"> отношении земельных участков</w:t>
      </w:r>
      <w:r>
        <w:rPr>
          <w:sz w:val="28"/>
          <w:szCs w:val="28"/>
        </w:rPr>
        <w:t>, занятыми</w:t>
      </w:r>
      <w:r w:rsidRPr="00FE0A26">
        <w:rPr>
          <w:sz w:val="28"/>
          <w:szCs w:val="28"/>
        </w:rPr>
        <w:t>:</w:t>
      </w:r>
    </w:p>
    <w:p w:rsidR="00E359DF" w:rsidRDefault="00E359DF" w:rsidP="00675C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E0A26">
        <w:rPr>
          <w:sz w:val="28"/>
          <w:szCs w:val="28"/>
        </w:rPr>
        <w:t>- объект</w:t>
      </w:r>
      <w:r>
        <w:rPr>
          <w:sz w:val="28"/>
          <w:szCs w:val="28"/>
        </w:rPr>
        <w:t>ами</w:t>
      </w:r>
      <w:r w:rsidRPr="00FE0A26">
        <w:rPr>
          <w:sz w:val="28"/>
          <w:szCs w:val="28"/>
        </w:rPr>
        <w:t xml:space="preserve"> торговли, общественного питания, бытового обслуживания;</w:t>
      </w:r>
    </w:p>
    <w:p w:rsidR="00E359DF" w:rsidRDefault="00E359DF" w:rsidP="00675C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филиалами ФГУП «Почта России» налоговая  ставка</w:t>
      </w:r>
      <w:r w:rsidRPr="00675C1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  с 0,6% до 0,7%.</w:t>
      </w:r>
    </w:p>
    <w:p w:rsidR="00E359DF" w:rsidRDefault="00E359DF" w:rsidP="00FD54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675C1E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земельных участков, предназначенных</w:t>
      </w:r>
      <w:r w:rsidRPr="00FE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E0A26">
        <w:rPr>
          <w:sz w:val="28"/>
          <w:szCs w:val="28"/>
        </w:rPr>
        <w:t>размещения производственных и административных зданий, строений, сооружений промышленного,</w:t>
      </w:r>
      <w:r>
        <w:rPr>
          <w:sz w:val="28"/>
          <w:szCs w:val="28"/>
        </w:rPr>
        <w:t xml:space="preserve"> </w:t>
      </w:r>
      <w:r w:rsidRPr="00FE0A26">
        <w:rPr>
          <w:sz w:val="28"/>
          <w:szCs w:val="28"/>
        </w:rPr>
        <w:t>материально-технического, продовольственно</w:t>
      </w:r>
      <w:r>
        <w:rPr>
          <w:sz w:val="28"/>
          <w:szCs w:val="28"/>
        </w:rPr>
        <w:t>го снабжения, сбыта и заготовок   налоговая ставка  увеличивается  с 1,2 % до  1,5%.</w:t>
      </w:r>
    </w:p>
    <w:p w:rsidR="00E359DF" w:rsidRDefault="00E359DF" w:rsidP="004B2E0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354D">
        <w:rPr>
          <w:sz w:val="28"/>
          <w:szCs w:val="28"/>
        </w:rPr>
        <w:t>Рассматриваемый проект</w:t>
      </w:r>
      <w:r>
        <w:rPr>
          <w:sz w:val="28"/>
          <w:szCs w:val="28"/>
        </w:rPr>
        <w:t xml:space="preserve"> решения </w:t>
      </w:r>
      <w:r w:rsidRPr="0050354D">
        <w:rPr>
          <w:sz w:val="28"/>
          <w:szCs w:val="28"/>
        </w:rPr>
        <w:t>пре</w:t>
      </w:r>
      <w:r>
        <w:rPr>
          <w:sz w:val="28"/>
          <w:szCs w:val="28"/>
        </w:rPr>
        <w:t xml:space="preserve">дусматривает перечень земельных </w:t>
      </w:r>
      <w:r w:rsidRPr="0050354D">
        <w:rPr>
          <w:sz w:val="28"/>
          <w:szCs w:val="28"/>
        </w:rPr>
        <w:t xml:space="preserve">участков, по которым установлено увеличение ставок земельного налога, что в конечном итоге должно привести к увеличению поступлений налоговых доходов в </w:t>
      </w:r>
      <w:r>
        <w:rPr>
          <w:sz w:val="28"/>
          <w:szCs w:val="28"/>
        </w:rPr>
        <w:t xml:space="preserve"> </w:t>
      </w:r>
      <w:r w:rsidRPr="0050354D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 МО Красноуфимский округ.</w:t>
      </w:r>
    </w:p>
    <w:p w:rsidR="00E359DF" w:rsidRDefault="00E359DF" w:rsidP="004B2E0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Комитетом по управлению имуществом  Муниципального  образования  Красноуфимский округ не представлено экономического обоснования, за счёт увеличения  ставок  земельного налога.</w:t>
      </w:r>
    </w:p>
    <w:p w:rsidR="00E359DF" w:rsidRDefault="00E359DF" w:rsidP="004B2E0A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формировании  доходной части проекта бюджета на 2015 год, Комитету по управлению имуществом  Муниципального  образования  Красноуфимский округ,  как администратору доходов, необходимо учесть </w:t>
      </w:r>
      <w:r w:rsidRPr="0050354D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ие поступления земельного налога. </w:t>
      </w:r>
    </w:p>
    <w:p w:rsidR="00E359DF" w:rsidRDefault="00E359DF" w:rsidP="0050354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Проектом решения предусмотрена  льгота следующей категории налогоплательщиков:</w:t>
      </w:r>
    </w:p>
    <w:p w:rsidR="00E359DF" w:rsidRDefault="00E359DF" w:rsidP="00C14EB4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Инвалид,  имеющий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 ограничения  способности, что не соответствует требованию п.5 статьи 391   Налогового Кодекса Российской Федерации.</w:t>
      </w:r>
    </w:p>
    <w:p w:rsidR="00E359DF" w:rsidRDefault="00E359DF" w:rsidP="00862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14   текстовой части проекта решения необходимо  дополнить словосочетанием «и разместить на официальном сайте МО Красноуфимский округ».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 основании  вышеизложенного  Ревизионная комиссия считает, что проект решения Думы Муниципального  образования  Красноуфимский округ «Об установлении ставок  земельного налога  на территории Муниципального образования Красноуфимский округ на 2015 год» в действующей  редакции может  быть принят на очередном заседании Думы с учетом  устранения  указанных замечаний.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 результатах  внесенных изменений в  проект решения    необходимо сообщить  в Ревизионную комиссию  МО Красноуфимский округ.</w:t>
      </w: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E359DF" w:rsidRDefault="00E359DF" w:rsidP="00D14629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E359DF" w:rsidRDefault="00E359DF" w:rsidP="00D1462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E359DF" w:rsidRDefault="00E359DF" w:rsidP="00D14629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 w:rsidP="00D14629"/>
    <w:p w:rsidR="00E359DF" w:rsidRDefault="00E359DF"/>
    <w:sectPr w:rsidR="00E359DF" w:rsidSect="00B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EAC"/>
    <w:multiLevelType w:val="hybridMultilevel"/>
    <w:tmpl w:val="81041142"/>
    <w:lvl w:ilvl="0" w:tplc="0419000D">
      <w:start w:val="1"/>
      <w:numFmt w:val="bullet"/>
      <w:lvlText w:val=""/>
      <w:lvlJc w:val="left"/>
      <w:pPr>
        <w:tabs>
          <w:tab w:val="num" w:pos="1333"/>
        </w:tabs>
        <w:ind w:left="13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cs="Wingdings" w:hint="default"/>
      </w:rPr>
    </w:lvl>
  </w:abstractNum>
  <w:abstractNum w:abstractNumId="1">
    <w:nsid w:val="4F204291"/>
    <w:multiLevelType w:val="hybridMultilevel"/>
    <w:tmpl w:val="CE9A9E0C"/>
    <w:lvl w:ilvl="0" w:tplc="DD5EFF2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29"/>
    <w:rsid w:val="00042F72"/>
    <w:rsid w:val="001C5C87"/>
    <w:rsid w:val="003304AF"/>
    <w:rsid w:val="003F0B9F"/>
    <w:rsid w:val="004B2E0A"/>
    <w:rsid w:val="004D1023"/>
    <w:rsid w:val="0050354D"/>
    <w:rsid w:val="0052119B"/>
    <w:rsid w:val="0057167F"/>
    <w:rsid w:val="005B419E"/>
    <w:rsid w:val="0063140D"/>
    <w:rsid w:val="00675C1E"/>
    <w:rsid w:val="006F2A46"/>
    <w:rsid w:val="007953E0"/>
    <w:rsid w:val="00853C74"/>
    <w:rsid w:val="0086234A"/>
    <w:rsid w:val="008729D6"/>
    <w:rsid w:val="008C4B6E"/>
    <w:rsid w:val="00A24D15"/>
    <w:rsid w:val="00A43989"/>
    <w:rsid w:val="00A825E0"/>
    <w:rsid w:val="00AC0F08"/>
    <w:rsid w:val="00AD5FA8"/>
    <w:rsid w:val="00AF31DC"/>
    <w:rsid w:val="00B334DD"/>
    <w:rsid w:val="00B86B6C"/>
    <w:rsid w:val="00BD6B7B"/>
    <w:rsid w:val="00C14EB4"/>
    <w:rsid w:val="00CF56EA"/>
    <w:rsid w:val="00D14629"/>
    <w:rsid w:val="00E317B0"/>
    <w:rsid w:val="00E359DF"/>
    <w:rsid w:val="00ED4184"/>
    <w:rsid w:val="00F253C3"/>
    <w:rsid w:val="00F83F6D"/>
    <w:rsid w:val="00FD544A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14629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D146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921</Words>
  <Characters>5255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</cp:revision>
  <cp:lastPrinted>2001-12-31T21:37:00Z</cp:lastPrinted>
  <dcterms:created xsi:type="dcterms:W3CDTF">2014-10-20T13:24:00Z</dcterms:created>
  <dcterms:modified xsi:type="dcterms:W3CDTF">2001-12-31T21:38:00Z</dcterms:modified>
</cp:coreProperties>
</file>