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E" w:rsidRDefault="00B53A9E" w:rsidP="00593E90">
      <w:pPr>
        <w:ind w:left="18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B53A9E" w:rsidRDefault="00B53A9E" w:rsidP="00476EB6">
      <w:pPr>
        <w:ind w:left="180"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Ревизионной комиссии Муниципального образования  Красноуфимский  округ   об исполнении бюджета МО Красноуфимский округ за 1 квартал 2014 года</w:t>
      </w:r>
    </w:p>
    <w:p w:rsidR="00B53A9E" w:rsidRDefault="00B53A9E" w:rsidP="00476EB6">
      <w:pPr>
        <w:ind w:right="-1"/>
        <w:jc w:val="center"/>
        <w:rPr>
          <w:b/>
          <w:bCs/>
          <w:sz w:val="28"/>
          <w:szCs w:val="28"/>
        </w:rPr>
      </w:pPr>
    </w:p>
    <w:p w:rsidR="00B53A9E" w:rsidRDefault="00B53A9E" w:rsidP="00476EB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19.05.2014г.                                                                               г. Красноуфимск</w:t>
      </w:r>
    </w:p>
    <w:p w:rsidR="00B53A9E" w:rsidRDefault="00B53A9E" w:rsidP="00476EB6">
      <w:pPr>
        <w:ind w:right="-1"/>
        <w:jc w:val="both"/>
        <w:rPr>
          <w:sz w:val="28"/>
          <w:szCs w:val="28"/>
        </w:rPr>
      </w:pPr>
    </w:p>
    <w:p w:rsidR="00B53A9E" w:rsidRDefault="00B53A9E" w:rsidP="003F426D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 требованиями пункта 9 статьи 8 Положения о Ревизионной комиссии Муниципального образования Красноуфимский округ, утвержденного решением районного Совета МО Красноуфимский район от 20.10.2005 года №150 (в редакции от 27.10.2011 №482) </w:t>
      </w:r>
      <w:r w:rsidRPr="00DE1A36">
        <w:rPr>
          <w:sz w:val="28"/>
          <w:szCs w:val="28"/>
        </w:rPr>
        <w:t xml:space="preserve">Ревизионной комиссией МО Красноуфимский округ </w:t>
      </w:r>
      <w:r>
        <w:rPr>
          <w:sz w:val="28"/>
          <w:szCs w:val="28"/>
        </w:rPr>
        <w:t xml:space="preserve"> подготовлена  информация</w:t>
      </w:r>
      <w:r w:rsidRPr="00DE1A36">
        <w:rPr>
          <w:sz w:val="28"/>
          <w:szCs w:val="28"/>
        </w:rPr>
        <w:t xml:space="preserve"> об исполнении бюджета МО Красноуф</w:t>
      </w:r>
      <w:r>
        <w:rPr>
          <w:sz w:val="28"/>
          <w:szCs w:val="28"/>
        </w:rPr>
        <w:t>имский округ за  1 квартал  2014</w:t>
      </w:r>
      <w:r w:rsidRPr="00DE1A3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53A9E" w:rsidRDefault="00B53A9E" w:rsidP="00BC4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2014 года  бюджет Муниципального образования Красноуфимский округ  исполнялся в соответствии с решением Думы Муниципального образования Красноуфимский округ   </w:t>
      </w:r>
      <w:r w:rsidRPr="00CD2EA6">
        <w:rPr>
          <w:sz w:val="28"/>
          <w:szCs w:val="28"/>
        </w:rPr>
        <w:t xml:space="preserve">от </w:t>
      </w:r>
      <w:r>
        <w:rPr>
          <w:sz w:val="28"/>
          <w:szCs w:val="28"/>
        </w:rPr>
        <w:t>19.12</w:t>
      </w:r>
      <w:r w:rsidRPr="00CD2EA6">
        <w:rPr>
          <w:sz w:val="28"/>
          <w:szCs w:val="28"/>
        </w:rPr>
        <w:t>.201</w:t>
      </w:r>
      <w:r>
        <w:rPr>
          <w:sz w:val="28"/>
          <w:szCs w:val="28"/>
        </w:rPr>
        <w:t>3 года №177</w:t>
      </w:r>
      <w:r w:rsidRPr="00CD2EA6">
        <w:rPr>
          <w:sz w:val="28"/>
          <w:szCs w:val="28"/>
        </w:rPr>
        <w:t xml:space="preserve"> «О бюджете МО Красноуфимский округ на 201</w:t>
      </w:r>
      <w:r>
        <w:rPr>
          <w:sz w:val="28"/>
          <w:szCs w:val="28"/>
        </w:rPr>
        <w:t>4</w:t>
      </w:r>
      <w:r w:rsidRPr="00CD2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13960">
        <w:rPr>
          <w:sz w:val="28"/>
          <w:szCs w:val="28"/>
        </w:rPr>
        <w:t>и плановый период 2015 – 2016 годов</w:t>
      </w:r>
      <w:r w:rsidRPr="00CD2EA6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изменениями).</w:t>
      </w:r>
    </w:p>
    <w:p w:rsidR="00B53A9E" w:rsidRDefault="00B53A9E" w:rsidP="003F426D">
      <w:pPr>
        <w:ind w:firstLine="709"/>
        <w:jc w:val="both"/>
        <w:rPr>
          <w:sz w:val="28"/>
          <w:szCs w:val="28"/>
        </w:rPr>
      </w:pPr>
    </w:p>
    <w:p w:rsidR="00B53A9E" w:rsidRDefault="00B53A9E" w:rsidP="003F426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 информации  изучены следующие материалы:</w:t>
      </w:r>
    </w:p>
    <w:p w:rsidR="00B53A9E" w:rsidRDefault="00B53A9E" w:rsidP="002139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МО Красноуфимский округ от 29.04.2014 года № 670 «Об утверждении отчета об исполнении бюджета МО Красноуфимский округ за 1 квартал 2014 года» (письмо Администрации МО Красноуфимский округ  от  12.05.2014г.  №1056);</w:t>
      </w:r>
    </w:p>
    <w:p w:rsidR="00B53A9E" w:rsidRDefault="00B53A9E" w:rsidP="00DF4D40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Отчёт по поступлениям и выбытиям (форма 05031151)  на 01 апреля 2014 года, представленный Управлением Федерального казначейства по Свердловской области;</w:t>
      </w:r>
    </w:p>
    <w:p w:rsidR="00B53A9E" w:rsidRDefault="00B53A9E" w:rsidP="0021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Думы Муниципального образования Красноуфимский округ   </w:t>
      </w:r>
      <w:r w:rsidRPr="00CD2EA6">
        <w:rPr>
          <w:sz w:val="28"/>
          <w:szCs w:val="28"/>
        </w:rPr>
        <w:t xml:space="preserve">от </w:t>
      </w:r>
      <w:r>
        <w:rPr>
          <w:sz w:val="28"/>
          <w:szCs w:val="28"/>
        </w:rPr>
        <w:t>20.12</w:t>
      </w:r>
      <w:r w:rsidRPr="00CD2EA6">
        <w:rPr>
          <w:sz w:val="28"/>
          <w:szCs w:val="28"/>
        </w:rPr>
        <w:t>.201</w:t>
      </w:r>
      <w:r>
        <w:rPr>
          <w:sz w:val="28"/>
          <w:szCs w:val="28"/>
        </w:rPr>
        <w:t>2 года №75</w:t>
      </w:r>
      <w:r w:rsidRPr="00CD2EA6">
        <w:rPr>
          <w:sz w:val="28"/>
          <w:szCs w:val="28"/>
        </w:rPr>
        <w:t xml:space="preserve"> «О бюджете МО Красноуфимский округ на 201</w:t>
      </w:r>
      <w:r>
        <w:rPr>
          <w:sz w:val="28"/>
          <w:szCs w:val="28"/>
        </w:rPr>
        <w:t>3</w:t>
      </w:r>
      <w:r w:rsidRPr="00CD2EA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(с изменениями;</w:t>
      </w:r>
    </w:p>
    <w:p w:rsidR="00B53A9E" w:rsidRDefault="00B53A9E" w:rsidP="0009032D">
      <w:p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 бюджета  Муниципального образования Красноуфимский округ за 1 квартал 2014 года, в состав которого входит:</w:t>
      </w:r>
    </w:p>
    <w:p w:rsidR="00B53A9E" w:rsidRDefault="00B53A9E" w:rsidP="0009032D">
      <w:pPr>
        <w:pStyle w:val="BodyTextIndent"/>
        <w:numPr>
          <w:ilvl w:val="1"/>
          <w:numId w:val="4"/>
        </w:numPr>
        <w:ind w:right="-1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на 01.04.2014 года (форма  0503317);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Справочная таблица к отчету об исполнении бюджета на  01.04.2014 года (форма 0503387);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Сведения об исполнении бюджета (форма 0503364);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Сведения о количестве государственных (муниципальных) учреждений (форма 0503361);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информационных технологий (форма  0503377);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«Отчет об   использовании  межбюджетных трансфертов ….» (форма 050324);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Отчет  о результатах работы, специалистов финансового контроля  финансового отдела  администрации МО Красноуфимский округ за 9 месяцев 2013 года, с пояснительной запиской;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Отчет  об использовании средств резервного фонда  Администрации МО Красноуфимский округ  на 01.04.2014 года;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Сводная таблица Муниципального долга на 01.04.2014 года;</w:t>
      </w:r>
    </w:p>
    <w:p w:rsidR="00B53A9E" w:rsidRDefault="00B53A9E" w:rsidP="0009032D">
      <w:pPr>
        <w:pStyle w:val="BodyTextIndent"/>
        <w:numPr>
          <w:ilvl w:val="1"/>
          <w:numId w:val="4"/>
        </w:numPr>
        <w:ind w:left="720" w:right="-1" w:firstLine="360"/>
        <w:rPr>
          <w:sz w:val="28"/>
          <w:szCs w:val="28"/>
        </w:rPr>
      </w:pPr>
      <w:r>
        <w:rPr>
          <w:sz w:val="28"/>
          <w:szCs w:val="28"/>
        </w:rPr>
        <w:t>Сводная бюджетная роспись МО Красноуфимский округ;</w:t>
      </w:r>
    </w:p>
    <w:p w:rsidR="00B53A9E" w:rsidRPr="0051318C" w:rsidRDefault="00B53A9E" w:rsidP="00DF4D40">
      <w:pPr>
        <w:pStyle w:val="ListParagraph"/>
        <w:numPr>
          <w:ilvl w:val="1"/>
          <w:numId w:val="4"/>
        </w:numPr>
        <w:tabs>
          <w:tab w:val="clear" w:pos="1440"/>
          <w:tab w:val="left" w:pos="0"/>
          <w:tab w:val="num" w:pos="720"/>
        </w:tabs>
        <w:ind w:left="72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 об исполнении бюджета МО Красноуфимский округ за 1 квартал 2014 года;</w:t>
      </w:r>
    </w:p>
    <w:p w:rsidR="00B53A9E" w:rsidRDefault="00B53A9E" w:rsidP="0009032D">
      <w:pPr>
        <w:ind w:left="480" w:right="-1"/>
        <w:jc w:val="both"/>
        <w:rPr>
          <w:sz w:val="28"/>
          <w:szCs w:val="28"/>
        </w:rPr>
      </w:pPr>
    </w:p>
    <w:p w:rsidR="00B53A9E" w:rsidRDefault="00B53A9E" w:rsidP="00872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отчётный период бюджет исполнен  с профицитом в объёме  61 698,3 тыс.рублей, который сложился вследствие  выполнения  бюджета  Муниципального образования Красноуфимский округ  по доходам   в сумме 232 945,2 тыс.рублей, по расходам в сумме </w:t>
      </w:r>
      <w:r w:rsidRPr="00872BFB">
        <w:rPr>
          <w:sz w:val="28"/>
          <w:szCs w:val="28"/>
        </w:rPr>
        <w:t>171</w:t>
      </w:r>
      <w:r>
        <w:rPr>
          <w:sz w:val="28"/>
          <w:szCs w:val="28"/>
        </w:rPr>
        <w:t> </w:t>
      </w:r>
      <w:r w:rsidRPr="00872BFB">
        <w:rPr>
          <w:sz w:val="28"/>
          <w:szCs w:val="28"/>
        </w:rPr>
        <w:t>246</w:t>
      </w:r>
      <w:r>
        <w:rPr>
          <w:sz w:val="28"/>
          <w:szCs w:val="28"/>
        </w:rPr>
        <w:t>,9</w:t>
      </w:r>
      <w:r w:rsidRPr="0017210D">
        <w:t xml:space="preserve">  </w:t>
      </w:r>
      <w:r>
        <w:rPr>
          <w:sz w:val="28"/>
          <w:szCs w:val="28"/>
        </w:rPr>
        <w:t>тыс.рублей.</w:t>
      </w:r>
    </w:p>
    <w:p w:rsidR="00B53A9E" w:rsidRDefault="00B53A9E" w:rsidP="00593E90">
      <w:pPr>
        <w:ind w:left="480" w:right="-1"/>
        <w:jc w:val="center"/>
        <w:rPr>
          <w:sz w:val="28"/>
          <w:szCs w:val="28"/>
        </w:rPr>
      </w:pPr>
    </w:p>
    <w:p w:rsidR="00B53A9E" w:rsidRPr="008B7540" w:rsidRDefault="00B53A9E" w:rsidP="00593E90">
      <w:pPr>
        <w:ind w:left="480" w:right="-1"/>
        <w:jc w:val="center"/>
        <w:rPr>
          <w:b/>
          <w:bCs/>
          <w:sz w:val="28"/>
          <w:szCs w:val="28"/>
        </w:rPr>
      </w:pPr>
      <w:r w:rsidRPr="008B7540">
        <w:rPr>
          <w:b/>
          <w:bCs/>
          <w:sz w:val="28"/>
          <w:szCs w:val="28"/>
        </w:rPr>
        <w:t>Доходы</w:t>
      </w:r>
    </w:p>
    <w:p w:rsidR="00B53A9E" w:rsidRDefault="00B53A9E" w:rsidP="00476EB6">
      <w:pPr>
        <w:ind w:left="480" w:right="-1"/>
        <w:jc w:val="both"/>
        <w:rPr>
          <w:sz w:val="28"/>
          <w:szCs w:val="28"/>
        </w:rPr>
      </w:pPr>
    </w:p>
    <w:p w:rsidR="00B53A9E" w:rsidRDefault="00B53A9E" w:rsidP="0047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исполнения доходов бюджета Муниципального образования    Красноуфимский округ за 1 квартал  2014  года составил  232 945,2 тыс.рублей (из них: собственных доходов 29 627,2 тыс.рублей и безвозмездных поступлений 203 318,0 тыс.рублей), что на  59 539,8 тыс.рублей или 25,6 % больше, чем в аналогичном  периоде 2013 года. </w:t>
      </w:r>
    </w:p>
    <w:p w:rsidR="00B53A9E" w:rsidRDefault="00B53A9E" w:rsidP="00E13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доходов в сумме 232 945,2 тыс.рублей, соответствует  отчету по поступлениям  и выбытиям (ф.0503151) на 01 апреля 2014 года, представленному Управлением Федерального казначейства по Свердловской области.</w:t>
      </w:r>
    </w:p>
    <w:p w:rsidR="00B53A9E" w:rsidRDefault="00B53A9E" w:rsidP="00632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доходов за 1 квартал 2014 года составил 23,2 % (из них: собственные доходы  3% ,безвозмездные поступления 20,2%) от объема доходов, утвержденных решением Думы Муниципального образования Красноуфимский округ   </w:t>
      </w:r>
      <w:r w:rsidRPr="00CD2EA6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CD2EA6">
        <w:rPr>
          <w:sz w:val="28"/>
          <w:szCs w:val="28"/>
        </w:rPr>
        <w:t>9.1</w:t>
      </w:r>
      <w:r>
        <w:rPr>
          <w:sz w:val="28"/>
          <w:szCs w:val="28"/>
        </w:rPr>
        <w:t>2</w:t>
      </w:r>
      <w:r w:rsidRPr="00CD2EA6">
        <w:rPr>
          <w:sz w:val="28"/>
          <w:szCs w:val="28"/>
        </w:rPr>
        <w:t>.201</w:t>
      </w:r>
      <w:r>
        <w:rPr>
          <w:sz w:val="28"/>
          <w:szCs w:val="28"/>
        </w:rPr>
        <w:t>3 года №177</w:t>
      </w:r>
      <w:r w:rsidRPr="00CD2EA6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МО Красноуфимский округ на 2014</w:t>
      </w:r>
      <w:r w:rsidRPr="00CD2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  <w:r w:rsidRPr="003F08F1">
        <w:rPr>
          <w:sz w:val="28"/>
          <w:szCs w:val="28"/>
        </w:rPr>
        <w:t xml:space="preserve"> </w:t>
      </w:r>
      <w:r w:rsidRPr="00213960">
        <w:rPr>
          <w:sz w:val="28"/>
          <w:szCs w:val="28"/>
        </w:rPr>
        <w:t>период 2015 – 2016 годов</w:t>
      </w:r>
      <w:r w:rsidRPr="00CD2EA6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изменениями). Доходная часть бюджета утверждена в размере 1 004 278,3 тыс.рублей, из них: собственные доходы составили 180 005,2 тыс. руб. и  безвозмездные поступления в сумме 824 273,1 тыс. рублей. </w:t>
      </w:r>
    </w:p>
    <w:p w:rsidR="00B53A9E" w:rsidRDefault="00B53A9E" w:rsidP="009A7C6D">
      <w:pPr>
        <w:tabs>
          <w:tab w:val="left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  Приложения  №1   Постановления  Администрации  МО Красноуфимский округ  от 29.04.2014г. №670  </w:t>
      </w:r>
      <w:r w:rsidRPr="008D7EA9">
        <w:rPr>
          <w:sz w:val="28"/>
          <w:szCs w:val="28"/>
        </w:rPr>
        <w:t>соответствуют</w:t>
      </w:r>
      <w:r>
        <w:rPr>
          <w:sz w:val="28"/>
          <w:szCs w:val="28"/>
        </w:rPr>
        <w:t xml:space="preserve">   показателям  Отчета  об исполнении бюджета на 01.04.2014 года (форма 0503317). </w:t>
      </w:r>
    </w:p>
    <w:p w:rsidR="00B53A9E" w:rsidRDefault="00B53A9E" w:rsidP="009A7C6D">
      <w:pPr>
        <w:tabs>
          <w:tab w:val="left" w:pos="28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3317">
        <w:rPr>
          <w:sz w:val="28"/>
          <w:szCs w:val="28"/>
        </w:rPr>
        <w:t xml:space="preserve">Показатели   поступления доходов  в бюджет </w:t>
      </w:r>
      <w:r>
        <w:rPr>
          <w:sz w:val="28"/>
          <w:szCs w:val="28"/>
        </w:rPr>
        <w:t>Муниципального образования Красноуфимский округ, исполнение бюджетных назначений, установленных Решением Думы Муниципального образования Красноуфимский округ  от 1</w:t>
      </w:r>
      <w:r w:rsidRPr="00CD2EA6">
        <w:rPr>
          <w:sz w:val="28"/>
          <w:szCs w:val="28"/>
        </w:rPr>
        <w:t>9.1</w:t>
      </w:r>
      <w:r>
        <w:rPr>
          <w:sz w:val="28"/>
          <w:szCs w:val="28"/>
        </w:rPr>
        <w:t>2</w:t>
      </w:r>
      <w:r w:rsidRPr="00CD2EA6">
        <w:rPr>
          <w:sz w:val="28"/>
          <w:szCs w:val="28"/>
        </w:rPr>
        <w:t>.201</w:t>
      </w:r>
      <w:r>
        <w:rPr>
          <w:sz w:val="28"/>
          <w:szCs w:val="28"/>
        </w:rPr>
        <w:t>3 года №177</w:t>
      </w:r>
      <w:r w:rsidRPr="00CD2EA6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МО Красноуфимский округ на 2014</w:t>
      </w:r>
      <w:r w:rsidRPr="00CD2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  <w:r w:rsidRPr="003F08F1">
        <w:rPr>
          <w:sz w:val="28"/>
          <w:szCs w:val="28"/>
        </w:rPr>
        <w:t xml:space="preserve"> </w:t>
      </w:r>
      <w:r w:rsidRPr="00213960">
        <w:rPr>
          <w:sz w:val="28"/>
          <w:szCs w:val="28"/>
        </w:rPr>
        <w:t>период 2015 – 2016 годов</w:t>
      </w:r>
      <w:r w:rsidRPr="00CD2EA6">
        <w:rPr>
          <w:sz w:val="28"/>
          <w:szCs w:val="28"/>
        </w:rPr>
        <w:t>»</w:t>
      </w:r>
      <w:r>
        <w:rPr>
          <w:sz w:val="28"/>
          <w:szCs w:val="28"/>
        </w:rPr>
        <w:t xml:space="preserve">  (с изменениями) в сравнении с аналогичными показателями за 1 квартал 2013 года представлены  в таблицах №1 и №2.</w:t>
      </w:r>
    </w:p>
    <w:p w:rsidR="00B53A9E" w:rsidRPr="00BF3317" w:rsidRDefault="00B53A9E" w:rsidP="009A7C6D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B53A9E" w:rsidRDefault="00B53A9E" w:rsidP="00476EB6">
      <w:pPr>
        <w:ind w:firstLine="709"/>
        <w:jc w:val="right"/>
        <w:rPr>
          <w:sz w:val="28"/>
          <w:szCs w:val="28"/>
        </w:rPr>
      </w:pPr>
    </w:p>
    <w:p w:rsidR="00B53A9E" w:rsidRDefault="00B53A9E" w:rsidP="00476EB6">
      <w:pPr>
        <w:ind w:firstLine="709"/>
        <w:jc w:val="right"/>
        <w:rPr>
          <w:sz w:val="28"/>
          <w:szCs w:val="28"/>
        </w:rPr>
      </w:pPr>
    </w:p>
    <w:p w:rsidR="00B53A9E" w:rsidRDefault="00B53A9E" w:rsidP="00476EB6">
      <w:pPr>
        <w:ind w:firstLine="709"/>
        <w:jc w:val="right"/>
        <w:rPr>
          <w:sz w:val="28"/>
          <w:szCs w:val="28"/>
        </w:rPr>
      </w:pPr>
    </w:p>
    <w:p w:rsidR="00B53A9E" w:rsidRDefault="00B53A9E" w:rsidP="00476EB6">
      <w:pPr>
        <w:ind w:firstLine="709"/>
        <w:jc w:val="right"/>
        <w:rPr>
          <w:sz w:val="28"/>
          <w:szCs w:val="28"/>
        </w:rPr>
      </w:pPr>
    </w:p>
    <w:p w:rsidR="00B53A9E" w:rsidRDefault="00B53A9E" w:rsidP="00476EB6">
      <w:pPr>
        <w:ind w:firstLine="709"/>
        <w:jc w:val="right"/>
        <w:rPr>
          <w:sz w:val="28"/>
          <w:szCs w:val="28"/>
        </w:rPr>
      </w:pPr>
    </w:p>
    <w:p w:rsidR="00B53A9E" w:rsidRDefault="00B53A9E" w:rsidP="00476EB6">
      <w:pPr>
        <w:ind w:firstLine="709"/>
        <w:jc w:val="right"/>
        <w:rPr>
          <w:sz w:val="28"/>
          <w:szCs w:val="28"/>
        </w:rPr>
      </w:pPr>
    </w:p>
    <w:p w:rsidR="00B53A9E" w:rsidRDefault="00B53A9E" w:rsidP="00476EB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B53A9E" w:rsidRDefault="00B53A9E" w:rsidP="00476EB6">
      <w:pPr>
        <w:ind w:firstLine="709"/>
        <w:jc w:val="right"/>
        <w:rPr>
          <w:sz w:val="28"/>
          <w:szCs w:val="28"/>
        </w:rPr>
      </w:pPr>
    </w:p>
    <w:tbl>
      <w:tblPr>
        <w:tblW w:w="9660" w:type="dxa"/>
        <w:tblInd w:w="-106" w:type="dxa"/>
        <w:tblLook w:val="00A0"/>
      </w:tblPr>
      <w:tblGrid>
        <w:gridCol w:w="1359"/>
        <w:gridCol w:w="1058"/>
        <w:gridCol w:w="1336"/>
        <w:gridCol w:w="1218"/>
        <w:gridCol w:w="1065"/>
        <w:gridCol w:w="1159"/>
        <w:gridCol w:w="1221"/>
        <w:gridCol w:w="1244"/>
      </w:tblGrid>
      <w:tr w:rsidR="00B53A9E" w:rsidRPr="00476EB6">
        <w:trPr>
          <w:trHeight w:val="360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Поступило доходов  за 1 кв. 2013г.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Объем бюджета по Решению Думы от 20.12.2012г. №75  на 2013 год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 xml:space="preserve"> Исполнение  к Решению Думы от 20.12.2012г. №75  на 2013 год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Поступило доходов  за 1 кв. 2014г.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Объем бюджета по Решению Думы от  19.12.2013  №177 на 2014 год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 xml:space="preserve"> Исполнение  к Решению Думы от  19.12.2013 №177 на 2014 год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 xml:space="preserve"> Исполнение  к аналогичным показателям 2013 года</w:t>
            </w:r>
          </w:p>
        </w:tc>
      </w:tr>
      <w:tr w:rsidR="00B53A9E" w:rsidRPr="00476EB6">
        <w:trPr>
          <w:trHeight w:val="93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</w:tr>
      <w:tr w:rsidR="00B53A9E" w:rsidRPr="00476EB6">
        <w:trPr>
          <w:trHeight w:val="30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DF4D40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DF4D40">
              <w:rPr>
                <w:color w:val="000000"/>
                <w:sz w:val="18"/>
                <w:szCs w:val="18"/>
              </w:rPr>
              <w:t>%</w:t>
            </w:r>
          </w:p>
        </w:tc>
      </w:tr>
      <w:tr w:rsidR="00B53A9E" w:rsidRPr="00476EB6">
        <w:trPr>
          <w:trHeight w:val="300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rPr>
                <w:color w:val="000000"/>
                <w:sz w:val="18"/>
                <w:szCs w:val="18"/>
              </w:rPr>
            </w:pPr>
          </w:p>
        </w:tc>
      </w:tr>
      <w:tr w:rsidR="00B53A9E" w:rsidRPr="00476EB6">
        <w:trPr>
          <w:trHeight w:val="48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33 267,1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167 286,2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29 627,2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180 005,2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-12,29</w:t>
            </w:r>
          </w:p>
        </w:tc>
      </w:tr>
      <w:tr w:rsidR="00B53A9E" w:rsidRPr="00476EB6">
        <w:trPr>
          <w:trHeight w:val="48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140 138,3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656 160,5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203 318,0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824 273,1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A29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31,1</w:t>
            </w:r>
          </w:p>
        </w:tc>
      </w:tr>
      <w:tr w:rsidR="00B53A9E" w:rsidRPr="00476EB6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476EB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5A294C">
              <w:rPr>
                <w:b/>
                <w:bCs/>
                <w:color w:val="000000"/>
                <w:sz w:val="18"/>
                <w:szCs w:val="18"/>
              </w:rPr>
              <w:t>того доходов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173 405,4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823 446,7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232 945,2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A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1 004 278,3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A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A29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25,6</w:t>
            </w:r>
          </w:p>
        </w:tc>
      </w:tr>
    </w:tbl>
    <w:p w:rsidR="00B53A9E" w:rsidRDefault="00B53A9E" w:rsidP="005A294C">
      <w:pPr>
        <w:ind w:firstLine="709"/>
        <w:jc w:val="right"/>
        <w:rPr>
          <w:sz w:val="28"/>
          <w:szCs w:val="28"/>
        </w:rPr>
      </w:pPr>
    </w:p>
    <w:p w:rsidR="00B53A9E" w:rsidRDefault="00B53A9E" w:rsidP="000903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53A9E" w:rsidRDefault="00B53A9E" w:rsidP="000903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B53A9E" w:rsidRDefault="00B53A9E" w:rsidP="00F07D1C">
      <w:pPr>
        <w:ind w:firstLine="709"/>
        <w:jc w:val="right"/>
        <w:rPr>
          <w:sz w:val="28"/>
          <w:szCs w:val="28"/>
        </w:rPr>
      </w:pPr>
    </w:p>
    <w:tbl>
      <w:tblPr>
        <w:tblW w:w="10032" w:type="dxa"/>
        <w:tblInd w:w="-106" w:type="dxa"/>
        <w:tblLook w:val="00A0"/>
      </w:tblPr>
      <w:tblGrid>
        <w:gridCol w:w="2111"/>
        <w:gridCol w:w="1103"/>
        <w:gridCol w:w="1421"/>
        <w:gridCol w:w="1019"/>
        <w:gridCol w:w="1091"/>
        <w:gridCol w:w="1473"/>
        <w:gridCol w:w="1814"/>
      </w:tblGrid>
      <w:tr w:rsidR="00B53A9E" w:rsidRPr="005633BA">
        <w:trPr>
          <w:trHeight w:val="574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Наименование</w:t>
            </w:r>
            <w:r>
              <w:rPr>
                <w:color w:val="000000"/>
                <w:sz w:val="18"/>
                <w:szCs w:val="18"/>
              </w:rPr>
              <w:t xml:space="preserve"> источника</w:t>
            </w:r>
            <w:r w:rsidRPr="005A294C">
              <w:rPr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Уточненные бюджетные на</w:t>
            </w:r>
            <w:r>
              <w:rPr>
                <w:color w:val="000000"/>
                <w:sz w:val="18"/>
                <w:szCs w:val="18"/>
              </w:rPr>
              <w:t>значения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color w:val="000000"/>
                <w:sz w:val="18"/>
                <w:szCs w:val="18"/>
              </w:rPr>
              <w:t>1 квар.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53A9E" w:rsidRPr="005A294C" w:rsidRDefault="00B53A9E" w:rsidP="006329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5A294C">
              <w:rPr>
                <w:color w:val="000000"/>
                <w:sz w:val="18"/>
                <w:szCs w:val="18"/>
              </w:rPr>
              <w:t>сполнение к уточненным  годовым назначениям</w:t>
            </w:r>
          </w:p>
        </w:tc>
      </w:tr>
      <w:tr w:rsidR="00B53A9E" w:rsidRPr="005633BA">
        <w:trPr>
          <w:trHeight w:val="541"/>
        </w:trPr>
        <w:tc>
          <w:tcPr>
            <w:tcW w:w="2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A294C">
              <w:rPr>
                <w:color w:val="000000"/>
                <w:sz w:val="18"/>
                <w:szCs w:val="18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</w:t>
            </w:r>
            <w:r w:rsidRPr="005A294C">
              <w:rPr>
                <w:color w:val="000000"/>
                <w:sz w:val="18"/>
                <w:szCs w:val="18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  <w:r w:rsidRPr="005A294C">
              <w:rPr>
                <w:color w:val="000000"/>
                <w:sz w:val="18"/>
                <w:szCs w:val="18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5A294C">
              <w:rPr>
                <w:color w:val="000000"/>
                <w:sz w:val="18"/>
                <w:szCs w:val="18"/>
              </w:rPr>
              <w:t xml:space="preserve"> г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 xml:space="preserve">за </w:t>
            </w:r>
            <w:r>
              <w:rPr>
                <w:color w:val="000000"/>
                <w:sz w:val="18"/>
                <w:szCs w:val="18"/>
              </w:rPr>
              <w:t>1 кв.</w:t>
            </w:r>
            <w:r w:rsidRPr="005A294C">
              <w:rPr>
                <w:color w:val="000000"/>
                <w:sz w:val="18"/>
                <w:szCs w:val="18"/>
              </w:rPr>
              <w:t xml:space="preserve"> 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5A294C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 xml:space="preserve">за </w:t>
            </w:r>
            <w:r>
              <w:rPr>
                <w:color w:val="000000"/>
                <w:sz w:val="18"/>
                <w:szCs w:val="18"/>
              </w:rPr>
              <w:t>1 кв</w:t>
            </w:r>
            <w:r w:rsidRPr="005A294C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A294C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5A294C">
              <w:rPr>
                <w:color w:val="000000"/>
                <w:sz w:val="18"/>
                <w:szCs w:val="18"/>
              </w:rPr>
              <w:t>г.</w:t>
            </w:r>
          </w:p>
        </w:tc>
      </w:tr>
      <w:tr w:rsidR="00B53A9E" w:rsidRPr="005633BA">
        <w:trPr>
          <w:trHeight w:val="434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190489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190489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190489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190489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B53A9E" w:rsidRPr="005633BA">
        <w:trPr>
          <w:trHeight w:val="434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 xml:space="preserve">Налог на доходы с физических лиц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120 915,0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115 770,0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21 648,3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20 118,2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B53A9E" w:rsidRPr="005633BA">
        <w:trPr>
          <w:trHeight w:val="434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8 303,0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1 730,9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B53A9E" w:rsidRPr="005633BA">
        <w:trPr>
          <w:trHeight w:val="30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ЕНВД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3 626,0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3 398,0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</w:t>
            </w:r>
          </w:p>
        </w:tc>
      </w:tr>
      <w:tr w:rsidR="00B53A9E" w:rsidRPr="005633BA">
        <w:trPr>
          <w:trHeight w:val="24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1 457,0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39,3</w:t>
            </w:r>
          </w:p>
        </w:tc>
      </w:tr>
      <w:tr w:rsidR="00B53A9E" w:rsidRPr="005633BA">
        <w:trPr>
          <w:trHeight w:val="478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Налог, взимаемый в связи с применением па</w:t>
            </w:r>
            <w:r>
              <w:rPr>
                <w:color w:val="000000"/>
                <w:sz w:val="18"/>
                <w:szCs w:val="18"/>
              </w:rPr>
              <w:t>тентной системы налогообложения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Свыше 100</w:t>
            </w:r>
          </w:p>
        </w:tc>
      </w:tr>
      <w:tr w:rsidR="00B53A9E" w:rsidRPr="005633BA">
        <w:trPr>
          <w:trHeight w:val="413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Налог на имущество с физических лиц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2 953,0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B53A9E" w:rsidRPr="005633BA">
        <w:trPr>
          <w:trHeight w:val="272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3 018,0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1 150,6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38,1</w:t>
            </w:r>
          </w:p>
        </w:tc>
      </w:tr>
      <w:tr w:rsidR="00B53A9E" w:rsidRPr="005633BA">
        <w:trPr>
          <w:trHeight w:val="275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Госуд. пошлина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</w:tr>
      <w:tr w:rsidR="00B53A9E" w:rsidRPr="005633BA">
        <w:trPr>
          <w:trHeight w:val="422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Задолженность по   отменным налогам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53A9E" w:rsidRPr="005633BA">
        <w:trPr>
          <w:trHeight w:val="272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05BBA" w:rsidRDefault="00B53A9E" w:rsidP="005633B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5BB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налоговых до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05BBA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131 877,0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05BBA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5BBA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134 956,0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05BBA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23 707,3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05BBA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5BBA">
              <w:rPr>
                <w:b/>
                <w:bCs/>
                <w:i/>
                <w:iCs/>
                <w:color w:val="000000"/>
                <w:sz w:val="18"/>
                <w:szCs w:val="18"/>
              </w:rPr>
              <w:t>24 367,7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05BBA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05BBA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05BBA">
              <w:rPr>
                <w:b/>
                <w:bCs/>
                <w:i/>
                <w:iCs/>
                <w:color w:val="000000"/>
                <w:sz w:val="18"/>
                <w:szCs w:val="18"/>
              </w:rPr>
              <w:t>18,1</w:t>
            </w:r>
          </w:p>
        </w:tc>
      </w:tr>
      <w:tr w:rsidR="00B53A9E" w:rsidRPr="005633BA">
        <w:trPr>
          <w:trHeight w:val="694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Доходы  от использования имущества, находящегося в гос. и муниципальной собственности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4 107,8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</w:tr>
      <w:tr w:rsidR="00B53A9E" w:rsidRPr="005633BA">
        <w:trPr>
          <w:trHeight w:val="420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Платежи при пользовании природными  ре</w:t>
            </w:r>
            <w:r>
              <w:rPr>
                <w:color w:val="000000"/>
                <w:sz w:val="18"/>
                <w:szCs w:val="18"/>
              </w:rPr>
              <w:t>сурсами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27,0</w:t>
            </w:r>
          </w:p>
        </w:tc>
      </w:tr>
      <w:tr w:rsidR="00B53A9E" w:rsidRPr="005633BA">
        <w:trPr>
          <w:trHeight w:val="411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Доходы от оказания платных услуг и компенсации затрат госу</w:t>
            </w:r>
            <w:r>
              <w:rPr>
                <w:color w:val="000000"/>
                <w:sz w:val="18"/>
                <w:szCs w:val="18"/>
              </w:rPr>
              <w:t>дарства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15 087,0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14 691,1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3 735,0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4 308,0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</w:t>
            </w:r>
          </w:p>
        </w:tc>
      </w:tr>
      <w:tr w:rsidR="00B53A9E" w:rsidRPr="005633BA">
        <w:trPr>
          <w:trHeight w:val="347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Доходы от продажи матер. и нематериаль</w:t>
            </w:r>
            <w:r>
              <w:rPr>
                <w:color w:val="000000"/>
                <w:sz w:val="18"/>
                <w:szCs w:val="18"/>
              </w:rPr>
              <w:t>ных активов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17 391,4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25 946,3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5 066,7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B53A9E" w:rsidRPr="005633BA">
        <w:trPr>
          <w:trHeight w:val="273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</w:t>
            </w:r>
            <w:r w:rsidRPr="005A294C">
              <w:rPr>
                <w:color w:val="000000"/>
                <w:sz w:val="18"/>
                <w:szCs w:val="18"/>
              </w:rPr>
              <w:t xml:space="preserve"> санкции</w:t>
            </w:r>
            <w:r>
              <w:rPr>
                <w:color w:val="000000"/>
                <w:sz w:val="18"/>
                <w:szCs w:val="18"/>
              </w:rPr>
              <w:t>, возмещение ущерба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</w:t>
            </w:r>
          </w:p>
        </w:tc>
      </w:tr>
      <w:tr w:rsidR="00B53A9E" w:rsidRPr="005633BA">
        <w:trPr>
          <w:trHeight w:val="548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53A9E" w:rsidRPr="005633BA">
        <w:trPr>
          <w:trHeight w:val="279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294C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неналоговых доходов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35 409,2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45 049,2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9 559,8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5 259,5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9A7C6D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9A7C6D" w:rsidRDefault="00B53A9E" w:rsidP="005633B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11,7</w:t>
            </w:r>
          </w:p>
        </w:tc>
      </w:tr>
      <w:tr w:rsidR="00B53A9E" w:rsidRPr="005633BA">
        <w:trPr>
          <w:trHeight w:val="426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294C">
              <w:rPr>
                <w:b/>
                <w:bCs/>
                <w:color w:val="000000"/>
                <w:sz w:val="18"/>
                <w:szCs w:val="18"/>
              </w:rPr>
              <w:t>Всего налоговые и неналоговые дохо</w:t>
            </w:r>
            <w:r>
              <w:rPr>
                <w:b/>
                <w:bCs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167 286,2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180 005,2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33 267,1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29 627,2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190489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16,5</w:t>
            </w:r>
          </w:p>
        </w:tc>
      </w:tr>
      <w:tr w:rsidR="00B53A9E" w:rsidRPr="005633BA">
        <w:trPr>
          <w:trHeight w:val="404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color w:val="000000"/>
                <w:sz w:val="18"/>
                <w:szCs w:val="18"/>
              </w:rPr>
            </w:pPr>
            <w:r w:rsidRPr="005A294C">
              <w:rPr>
                <w:color w:val="000000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656 160,5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824 273,1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140 138,3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203 318,0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</w:t>
            </w:r>
          </w:p>
        </w:tc>
      </w:tr>
      <w:tr w:rsidR="00B53A9E" w:rsidRPr="005633BA">
        <w:trPr>
          <w:trHeight w:val="424"/>
        </w:trPr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A294C" w:rsidRDefault="00B53A9E" w:rsidP="005633B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294C">
              <w:rPr>
                <w:b/>
                <w:bCs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823 446,7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1 004 278,3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173 405,4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232 945,2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A294C" w:rsidRDefault="00B53A9E" w:rsidP="005633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23,2</w:t>
            </w:r>
          </w:p>
        </w:tc>
      </w:tr>
    </w:tbl>
    <w:p w:rsidR="00B53A9E" w:rsidRPr="005633BA" w:rsidRDefault="00B53A9E" w:rsidP="00476EB6">
      <w:pPr>
        <w:jc w:val="both"/>
        <w:rPr>
          <w:sz w:val="18"/>
          <w:szCs w:val="18"/>
        </w:rPr>
      </w:pPr>
    </w:p>
    <w:p w:rsidR="00B53A9E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Налоговые доходы  за 1 квартал 2014 года  поступили  в сумме </w:t>
      </w:r>
      <w:r w:rsidRPr="00E41855">
        <w:rPr>
          <w:color w:val="000000"/>
          <w:sz w:val="28"/>
          <w:szCs w:val="28"/>
        </w:rPr>
        <w:t>24 367,7</w:t>
      </w:r>
      <w:r>
        <w:rPr>
          <w:sz w:val="28"/>
          <w:szCs w:val="28"/>
        </w:rPr>
        <w:t xml:space="preserve"> тыс.рублей, что на 660,4 тыс.рублей больше в сравнении с  аналогичным периодом  2013 года.</w:t>
      </w:r>
    </w:p>
    <w:p w:rsidR="00B53A9E" w:rsidRDefault="00B53A9E" w:rsidP="00531B72">
      <w:pPr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Основная часть налоговых </w:t>
      </w:r>
      <w:r w:rsidRPr="005633BA">
        <w:rPr>
          <w:sz w:val="28"/>
          <w:szCs w:val="28"/>
        </w:rPr>
        <w:t xml:space="preserve"> доходов обеспечена  за счет</w:t>
      </w:r>
      <w:r>
        <w:rPr>
          <w:sz w:val="28"/>
          <w:szCs w:val="28"/>
        </w:rPr>
        <w:t>:</w:t>
      </w:r>
    </w:p>
    <w:p w:rsidR="00B53A9E" w:rsidRDefault="00B53A9E" w:rsidP="00531B7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3BA">
        <w:rPr>
          <w:color w:val="000000"/>
          <w:sz w:val="28"/>
          <w:szCs w:val="28"/>
        </w:rPr>
        <w:t>налога на доходы с физических лиц</w:t>
      </w:r>
      <w:r>
        <w:rPr>
          <w:color w:val="000000"/>
          <w:sz w:val="28"/>
          <w:szCs w:val="28"/>
        </w:rPr>
        <w:t xml:space="preserve"> в сумме 20 118,2 тыс.рублей (82,6% в структуре налоговых доходов), что на 1530,1 тыс. рублей или 7,6%  меньше поступления за 1 квартал 2013 года;</w:t>
      </w:r>
    </w:p>
    <w:p w:rsidR="00B53A9E" w:rsidRDefault="00B53A9E" w:rsidP="006147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акцизов по подакцизным товарам (продукции), производимым на территории РФ в сумме 1 730,9 тыс. рублей (7,1%</w:t>
      </w:r>
      <w:r w:rsidRPr="00614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структуре налоговых доходов);</w:t>
      </w:r>
    </w:p>
    <w:p w:rsidR="00B53A9E" w:rsidRDefault="00B53A9E" w:rsidP="009A7C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земельный налог поступил в сумме 1 150,6 тыс. рублей </w:t>
      </w:r>
      <w:r>
        <w:rPr>
          <w:color w:val="000000"/>
          <w:sz w:val="28"/>
          <w:szCs w:val="28"/>
        </w:rPr>
        <w:t>(4,7%</w:t>
      </w:r>
      <w:r w:rsidRPr="006147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структуре налоговых доходов), что на 185,7 тыс. рублей или 16,1% больше  поступления за 1 квартал 2013 года.</w:t>
      </w:r>
    </w:p>
    <w:p w:rsidR="00B53A9E" w:rsidRDefault="00B53A9E" w:rsidP="00A62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 доходы  за 1 квартал 2014 года  поступили  в сумме 5 259,5 тыс.рублей, что на 4 300,3 тыс. рублей меньше в сравнении с  аналогичным периодом 2013 года.</w:t>
      </w:r>
    </w:p>
    <w:p w:rsidR="00B53A9E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неналоговых </w:t>
      </w:r>
      <w:r w:rsidRPr="005633BA">
        <w:rPr>
          <w:sz w:val="28"/>
          <w:szCs w:val="28"/>
        </w:rPr>
        <w:t xml:space="preserve"> доходов обеспечена  за счет</w:t>
      </w:r>
      <w:r>
        <w:rPr>
          <w:sz w:val="28"/>
          <w:szCs w:val="28"/>
        </w:rPr>
        <w:t>:</w:t>
      </w:r>
    </w:p>
    <w:p w:rsidR="00B53A9E" w:rsidRDefault="00B53A9E" w:rsidP="009A7C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5633BA">
        <w:rPr>
          <w:sz w:val="28"/>
          <w:szCs w:val="28"/>
        </w:rPr>
        <w:t xml:space="preserve"> </w:t>
      </w:r>
      <w:r w:rsidRPr="005633BA">
        <w:rPr>
          <w:color w:val="000000"/>
          <w:sz w:val="28"/>
          <w:szCs w:val="28"/>
        </w:rPr>
        <w:t>оказания платных услуг и компенсации затрат государства</w:t>
      </w:r>
      <w:r>
        <w:rPr>
          <w:color w:val="000000"/>
          <w:sz w:val="28"/>
          <w:szCs w:val="28"/>
        </w:rPr>
        <w:t xml:space="preserve"> в сумме 4 308,0 тыс.рублей (82% в структуре неналоговых доходов), что на 573,0 тыс.рублей или 13,3% больше в сравнении с аналогичным периодом 2013 года;</w:t>
      </w:r>
    </w:p>
    <w:p w:rsidR="00B53A9E" w:rsidRPr="007625EA" w:rsidRDefault="00B53A9E" w:rsidP="009A7C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доходов от использования имущества, находящегося в государственной и муниципальной собственности в сумме 776,4 тыс.рублей (14,8%</w:t>
      </w:r>
      <w:r w:rsidRPr="00450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структуре неналоговых доходов), что на 35,9 тыс.рублей или 4,6% больше в сравнении с аналогичным периодом 2013 года.</w:t>
      </w:r>
    </w:p>
    <w:p w:rsidR="00B53A9E" w:rsidRPr="007625EA" w:rsidRDefault="00B53A9E" w:rsidP="00450C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33BA">
        <w:rPr>
          <w:color w:val="000000"/>
          <w:sz w:val="28"/>
          <w:szCs w:val="28"/>
        </w:rPr>
        <w:t>продажи матер</w:t>
      </w:r>
      <w:r>
        <w:rPr>
          <w:color w:val="000000"/>
          <w:sz w:val="28"/>
          <w:szCs w:val="28"/>
        </w:rPr>
        <w:t>иальных</w:t>
      </w:r>
      <w:r w:rsidRPr="005633BA">
        <w:rPr>
          <w:color w:val="000000"/>
          <w:sz w:val="28"/>
          <w:szCs w:val="28"/>
        </w:rPr>
        <w:t xml:space="preserve"> и нематериальных активов</w:t>
      </w:r>
      <w:r>
        <w:rPr>
          <w:color w:val="000000"/>
          <w:sz w:val="28"/>
          <w:szCs w:val="28"/>
        </w:rPr>
        <w:t xml:space="preserve"> в сумме 83,7 тыс. рублей (0,02%</w:t>
      </w:r>
      <w:r w:rsidRPr="00450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структуре неналоговых доходов), что на 4 983,0 тыс. рублей или свыше 100%  меньше поступлений</w:t>
      </w:r>
      <w:r w:rsidRPr="00450C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сравнении с аналогичным периодом 2013 года.</w:t>
      </w:r>
    </w:p>
    <w:p w:rsidR="00B53A9E" w:rsidRDefault="00B53A9E" w:rsidP="0091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 отклонений от планового процента по доходам:</w:t>
      </w:r>
    </w:p>
    <w:p w:rsidR="00B53A9E" w:rsidRDefault="00B53A9E" w:rsidP="00917A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налог</w:t>
      </w:r>
      <w:r w:rsidRPr="005633BA">
        <w:rPr>
          <w:color w:val="000000"/>
          <w:sz w:val="28"/>
          <w:szCs w:val="28"/>
        </w:rPr>
        <w:t xml:space="preserve"> на доходы с физических лиц</w:t>
      </w:r>
      <w:r>
        <w:rPr>
          <w:color w:val="000000"/>
          <w:sz w:val="28"/>
          <w:szCs w:val="28"/>
        </w:rPr>
        <w:t xml:space="preserve"> – отсутствие поступлений от сельскохозяйственных предприятий;</w:t>
      </w:r>
    </w:p>
    <w:p w:rsidR="00B53A9E" w:rsidRPr="00917AE8" w:rsidRDefault="00B53A9E" w:rsidP="00917A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917AE8">
        <w:rPr>
          <w:color w:val="000000"/>
          <w:sz w:val="28"/>
          <w:szCs w:val="28"/>
        </w:rPr>
        <w:t>оходы  от использования имущества, находящегося в гос. и муниципальной собственности</w:t>
      </w:r>
      <w:r>
        <w:rPr>
          <w:color w:val="000000"/>
          <w:sz w:val="28"/>
          <w:szCs w:val="28"/>
        </w:rPr>
        <w:t xml:space="preserve"> – наличие задолженностей и невыясненных поступлений</w:t>
      </w:r>
    </w:p>
    <w:p w:rsidR="00B53A9E" w:rsidRPr="00917AE8" w:rsidRDefault="00B53A9E" w:rsidP="00917AE8">
      <w:pPr>
        <w:jc w:val="both"/>
        <w:rPr>
          <w:sz w:val="28"/>
          <w:szCs w:val="2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28"/>
          <w:szCs w:val="28"/>
        </w:rPr>
        <w:t>д</w:t>
      </w:r>
      <w:r w:rsidRPr="00917AE8">
        <w:rPr>
          <w:color w:val="000000"/>
          <w:sz w:val="28"/>
          <w:szCs w:val="28"/>
        </w:rPr>
        <w:t>оходы от продажи матер</w:t>
      </w:r>
      <w:r>
        <w:rPr>
          <w:color w:val="000000"/>
          <w:sz w:val="28"/>
          <w:szCs w:val="28"/>
        </w:rPr>
        <w:t>иальных</w:t>
      </w:r>
      <w:r w:rsidRPr="00917AE8">
        <w:rPr>
          <w:color w:val="000000"/>
          <w:sz w:val="28"/>
          <w:szCs w:val="28"/>
        </w:rPr>
        <w:t xml:space="preserve"> и нематериальных активов</w:t>
      </w:r>
      <w:r>
        <w:rPr>
          <w:color w:val="000000"/>
          <w:sz w:val="28"/>
          <w:szCs w:val="28"/>
        </w:rPr>
        <w:t xml:space="preserve"> – заключение договоров купли-продажи запланировано на 3-4 квартал 2014 года.</w:t>
      </w:r>
    </w:p>
    <w:p w:rsidR="00B53A9E" w:rsidRDefault="00B53A9E" w:rsidP="00917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A9E" w:rsidRDefault="00B53A9E" w:rsidP="00191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Недоимка  по платежам в местный бюджет  по состоянию на 01.04.2014 года  составила 6 155,0 тыс. рублей, в том числе:</w:t>
      </w:r>
    </w:p>
    <w:p w:rsidR="00B53A9E" w:rsidRDefault="00B53A9E" w:rsidP="009A7C6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налогу  на доходы физических лиц – 1 105,0 тыс.рублей;</w:t>
      </w:r>
    </w:p>
    <w:p w:rsidR="00B53A9E" w:rsidRDefault="00B53A9E" w:rsidP="009A7C6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земельному налогу – 1 435,0 тыс. рублей;</w:t>
      </w:r>
    </w:p>
    <w:p w:rsidR="00B53A9E" w:rsidRDefault="00B53A9E" w:rsidP="009A7C6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налогу на  имущество физических лиц – 968,0 тыс. рублей;</w:t>
      </w:r>
    </w:p>
    <w:p w:rsidR="00B53A9E" w:rsidRDefault="00B53A9E" w:rsidP="009A7C6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от использования имущества – 1 932,0 тыс.рублей;</w:t>
      </w:r>
    </w:p>
    <w:p w:rsidR="00B53A9E" w:rsidRDefault="00B53A9E" w:rsidP="009A7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от оказания  платных услуг (работ) и компенсации затрат государства – 477,0 тыс. рублей. </w:t>
      </w:r>
    </w:p>
    <w:p w:rsidR="00B53A9E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сравнении с аналогичным периодом 2013 года  недоимка увеличилась на 1 529,0 тыс.рублей (4 626,0 тыс.рублей), в том числе: по земельному налогу </w:t>
      </w:r>
      <w:r w:rsidRPr="00EC4EC5">
        <w:rPr>
          <w:sz w:val="28"/>
          <w:szCs w:val="28"/>
        </w:rPr>
        <w:t>на 283</w:t>
      </w:r>
      <w:r>
        <w:rPr>
          <w:sz w:val="28"/>
          <w:szCs w:val="28"/>
        </w:rPr>
        <w:t xml:space="preserve"> тыс.руб. (1 152,0 тыс. рублей), по</w:t>
      </w:r>
      <w:r w:rsidRPr="00EC4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налогу на  имущество физических лиц на 375 тыс.рублей (593 тыс.рублей), по доходам от использования имущества на 800 тыс.рублей (1 131,0 тыс.рублей). </w:t>
      </w:r>
    </w:p>
    <w:p w:rsidR="00B53A9E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показателями на 01.01.2014 года недоимка увеличилась на 666,0 тыс.рублей (5 489,0 тыс.рублей), в основном за счет доходов от использования имущества – на 598,0 тыс.рублей.</w:t>
      </w:r>
      <w:r w:rsidRPr="00E0535F">
        <w:rPr>
          <w:sz w:val="28"/>
          <w:szCs w:val="28"/>
        </w:rPr>
        <w:t xml:space="preserve"> </w:t>
      </w:r>
    </w:p>
    <w:p w:rsidR="00B53A9E" w:rsidRPr="00E0535F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МО Красноуфимский округ не ведется работа по снижению недоимки и недопущению ее роста, согласно постановления главы МО Красноуфимский округ от 30.10.2013 года №89 </w:t>
      </w:r>
      <w:r w:rsidRPr="00E0535F">
        <w:rPr>
          <w:sz w:val="28"/>
          <w:szCs w:val="28"/>
        </w:rPr>
        <w:t>«Об утверждении основных направлений бюджетной и налоговой политики Муниципального образования Красноуфимский округ на 2014 год и плановый период 2015 и 2016 годов»</w:t>
      </w:r>
      <w:r>
        <w:rPr>
          <w:sz w:val="28"/>
          <w:szCs w:val="28"/>
        </w:rPr>
        <w:t>.</w:t>
      </w:r>
    </w:p>
    <w:p w:rsidR="00B53A9E" w:rsidRPr="005633BA" w:rsidRDefault="00B53A9E" w:rsidP="00476EB6">
      <w:pPr>
        <w:jc w:val="both"/>
        <w:rPr>
          <w:sz w:val="18"/>
          <w:szCs w:val="18"/>
        </w:rPr>
      </w:pPr>
    </w:p>
    <w:p w:rsidR="00B53A9E" w:rsidRPr="007625EA" w:rsidRDefault="00B53A9E" w:rsidP="00593E90">
      <w:pPr>
        <w:jc w:val="center"/>
        <w:rPr>
          <w:b/>
          <w:bCs/>
          <w:sz w:val="28"/>
          <w:szCs w:val="28"/>
        </w:rPr>
      </w:pPr>
      <w:r w:rsidRPr="007625EA">
        <w:rPr>
          <w:b/>
          <w:bCs/>
          <w:sz w:val="28"/>
          <w:szCs w:val="28"/>
        </w:rPr>
        <w:t>Расходы</w:t>
      </w:r>
    </w:p>
    <w:p w:rsidR="00B53A9E" w:rsidRPr="007625EA" w:rsidRDefault="00B53A9E" w:rsidP="00476EB6">
      <w:pPr>
        <w:jc w:val="both"/>
        <w:rPr>
          <w:b/>
          <w:bCs/>
          <w:sz w:val="28"/>
          <w:szCs w:val="28"/>
        </w:rPr>
      </w:pPr>
    </w:p>
    <w:p w:rsidR="00B53A9E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МО Красноуфимский округ за 1 квартал 2014 года составила 171 246,9 тыс.рублей, что на 40 542,2 тыс.рублей (31%) больше, чем за аналогичный период 2013 года. Объем расходов за период с января по март составил 16,8% от утвержденных  Решением Думы  МО Красноуфимский округ  </w:t>
      </w:r>
      <w:r w:rsidRPr="00CD2EA6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CD2EA6">
        <w:rPr>
          <w:sz w:val="28"/>
          <w:szCs w:val="28"/>
        </w:rPr>
        <w:t>9.1</w:t>
      </w:r>
      <w:r>
        <w:rPr>
          <w:sz w:val="28"/>
          <w:szCs w:val="28"/>
        </w:rPr>
        <w:t>2</w:t>
      </w:r>
      <w:r w:rsidRPr="00CD2EA6">
        <w:rPr>
          <w:sz w:val="28"/>
          <w:szCs w:val="28"/>
        </w:rPr>
        <w:t>.201</w:t>
      </w:r>
      <w:r>
        <w:rPr>
          <w:sz w:val="28"/>
          <w:szCs w:val="28"/>
        </w:rPr>
        <w:t>3 года №177</w:t>
      </w:r>
      <w:r w:rsidRPr="00CD2EA6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МО Красноуфимский округ на 2014</w:t>
      </w:r>
      <w:r w:rsidRPr="00CD2E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  <w:r w:rsidRPr="003F08F1">
        <w:rPr>
          <w:sz w:val="28"/>
          <w:szCs w:val="28"/>
        </w:rPr>
        <w:t xml:space="preserve"> </w:t>
      </w:r>
      <w:r w:rsidRPr="00213960">
        <w:rPr>
          <w:sz w:val="28"/>
          <w:szCs w:val="28"/>
        </w:rPr>
        <w:t>период 2015 – 2016 годов</w:t>
      </w:r>
      <w:r w:rsidRPr="00CD2EA6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изменениями) в  размере  1 016 395,7 тыс. рублей.  В 2013 году данный показатель составлял 15,9%.</w:t>
      </w:r>
    </w:p>
    <w:p w:rsidR="00B53A9E" w:rsidRDefault="00B53A9E" w:rsidP="00E13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Исполнение расходов в сумме 171 246,9 тыс.рублей, соответствует  отчету по поступлениям  и выбытиям (ф.0503151) на 01 апреля 2014 года, представленному Управлением Федерального казначейства по Свердловской области.</w:t>
      </w:r>
    </w:p>
    <w:p w:rsidR="00B53A9E" w:rsidRDefault="00B53A9E" w:rsidP="00BC56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 исполнения  плановых назначений  бюджета Муниципального образования Красноуфимский округ  по расходам  в разрезе  разделов классификации расходов бюджета за 1 квартал 2014 года в сравнении с аналогичным периодом 2013 года представлен в таблице №3.</w:t>
      </w:r>
    </w:p>
    <w:p w:rsidR="00B53A9E" w:rsidRDefault="00B53A9E" w:rsidP="000E4BAB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</w:p>
    <w:p w:rsidR="00B53A9E" w:rsidRDefault="00B53A9E" w:rsidP="00F07D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Таблица №3 </w:t>
      </w:r>
    </w:p>
    <w:p w:rsidR="00B53A9E" w:rsidRDefault="00B53A9E" w:rsidP="00F07D1C">
      <w:pPr>
        <w:jc w:val="right"/>
        <w:rPr>
          <w:sz w:val="28"/>
          <w:szCs w:val="28"/>
        </w:rPr>
      </w:pPr>
    </w:p>
    <w:tbl>
      <w:tblPr>
        <w:tblW w:w="11453" w:type="dxa"/>
        <w:tblInd w:w="-106" w:type="dxa"/>
        <w:tblLook w:val="00A0"/>
      </w:tblPr>
      <w:tblGrid>
        <w:gridCol w:w="864"/>
        <w:gridCol w:w="2129"/>
        <w:gridCol w:w="1362"/>
        <w:gridCol w:w="1267"/>
        <w:gridCol w:w="1614"/>
        <w:gridCol w:w="1683"/>
        <w:gridCol w:w="1267"/>
        <w:gridCol w:w="1267"/>
      </w:tblGrid>
      <w:tr w:rsidR="00B53A9E" w:rsidRPr="00B91AF0">
        <w:trPr>
          <w:trHeight w:val="139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Код раздела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992464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Объем бюджета по Решению Думы от  2</w:t>
            </w:r>
            <w:r>
              <w:rPr>
                <w:color w:val="000000"/>
                <w:sz w:val="18"/>
                <w:szCs w:val="18"/>
              </w:rPr>
              <w:t>0.12.2012  № 75</w:t>
            </w:r>
            <w:r w:rsidRPr="00B91AF0">
              <w:rPr>
                <w:color w:val="000000"/>
                <w:sz w:val="18"/>
                <w:szCs w:val="18"/>
              </w:rPr>
              <w:t xml:space="preserve"> на 2013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992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B91AF0">
              <w:rPr>
                <w:color w:val="000000"/>
                <w:sz w:val="18"/>
                <w:szCs w:val="18"/>
              </w:rPr>
              <w:t xml:space="preserve">сполнение за </w:t>
            </w:r>
            <w:r>
              <w:rPr>
                <w:color w:val="000000"/>
                <w:sz w:val="18"/>
                <w:szCs w:val="18"/>
              </w:rPr>
              <w:t xml:space="preserve">1 кв. </w:t>
            </w:r>
            <w:r w:rsidRPr="00B91AF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B91AF0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992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B91AF0">
              <w:rPr>
                <w:color w:val="000000"/>
                <w:sz w:val="18"/>
                <w:szCs w:val="18"/>
              </w:rPr>
              <w:t>сполнение  к Решению Думы от 2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91AF0">
              <w:rPr>
                <w:color w:val="000000"/>
                <w:sz w:val="18"/>
                <w:szCs w:val="18"/>
              </w:rPr>
              <w:t xml:space="preserve">.12.2012 № </w:t>
            </w:r>
            <w:r>
              <w:rPr>
                <w:color w:val="000000"/>
                <w:sz w:val="18"/>
                <w:szCs w:val="18"/>
              </w:rPr>
              <w:t>75</w:t>
            </w:r>
            <w:r w:rsidRPr="00B91AF0">
              <w:rPr>
                <w:color w:val="000000"/>
                <w:sz w:val="18"/>
                <w:szCs w:val="18"/>
              </w:rPr>
              <w:t xml:space="preserve"> на 2013 год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992464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Объем бюджета по Решению Думы</w:t>
            </w:r>
            <w:r>
              <w:rPr>
                <w:color w:val="000000"/>
                <w:sz w:val="18"/>
                <w:szCs w:val="18"/>
              </w:rPr>
              <w:t xml:space="preserve"> от 19.12.2013г.№177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992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Исполнение за 1 кв. </w:t>
            </w:r>
            <w:r w:rsidRPr="00B91AF0">
              <w:rPr>
                <w:color w:val="000000"/>
                <w:sz w:val="18"/>
                <w:szCs w:val="18"/>
              </w:rPr>
              <w:t>2013г.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9924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B91AF0">
              <w:rPr>
                <w:color w:val="000000"/>
                <w:sz w:val="18"/>
                <w:szCs w:val="18"/>
              </w:rPr>
              <w:t xml:space="preserve">сполнение  к Решению Думы от  </w:t>
            </w:r>
            <w:r>
              <w:rPr>
                <w:color w:val="000000"/>
                <w:sz w:val="18"/>
                <w:szCs w:val="18"/>
              </w:rPr>
              <w:t>19.12.2013г. №177</w:t>
            </w:r>
          </w:p>
        </w:tc>
      </w:tr>
      <w:tr w:rsidR="00B53A9E" w:rsidRPr="00B91AF0">
        <w:trPr>
          <w:trHeight w:val="491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9A7C6D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9A7C6D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9A7C6D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9A7C6D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9A7C6D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9A7C6D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%</w:t>
            </w:r>
          </w:p>
        </w:tc>
      </w:tr>
      <w:tr w:rsidR="00B53A9E" w:rsidRPr="00B91AF0">
        <w:trPr>
          <w:trHeight w:val="49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78 313,4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19 671,9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94 261,8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19 006,5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20,2</w:t>
            </w:r>
          </w:p>
        </w:tc>
      </w:tr>
      <w:tr w:rsidR="00B53A9E" w:rsidRPr="00B91AF0">
        <w:trPr>
          <w:trHeight w:val="30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1 718,4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1 441,7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</w:t>
            </w:r>
          </w:p>
        </w:tc>
      </w:tr>
      <w:tr w:rsidR="00B53A9E" w:rsidRPr="00B91AF0">
        <w:trPr>
          <w:trHeight w:val="65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Национальная безопасность и правоохранительные деятель</w:t>
            </w:r>
            <w:r>
              <w:rPr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4 330,5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4 432,0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</w:t>
            </w:r>
          </w:p>
        </w:tc>
      </w:tr>
      <w:tr w:rsidR="00B53A9E" w:rsidRPr="00B91AF0">
        <w:trPr>
          <w:trHeight w:val="49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Национальная эконо</w:t>
            </w:r>
            <w:r>
              <w:rPr>
                <w:color w:val="000000"/>
                <w:sz w:val="18"/>
                <w:szCs w:val="18"/>
              </w:rPr>
              <w:t>мика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31 448,5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1 742,6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12 696,0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1 391,2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B53A9E" w:rsidRPr="00B91AF0">
        <w:trPr>
          <w:trHeight w:val="42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Жилищно-коммунальное хозяй</w:t>
            </w:r>
            <w:r>
              <w:rPr>
                <w:color w:val="000000"/>
                <w:sz w:val="18"/>
                <w:szCs w:val="18"/>
              </w:rPr>
              <w:t>ство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65 366,5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3 342,7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42 772,9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2 786,7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</w:t>
            </w:r>
          </w:p>
        </w:tc>
      </w:tr>
      <w:tr w:rsidR="00B53A9E" w:rsidRPr="00B91AF0">
        <w:trPr>
          <w:trHeight w:val="49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Default="00B53A9E" w:rsidP="00B331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  <w:p w:rsidR="00B53A9E" w:rsidRPr="00B91AF0" w:rsidRDefault="00B53A9E" w:rsidP="00B331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1 192,0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53A9E" w:rsidRPr="00B91AF0">
        <w:trPr>
          <w:trHeight w:val="30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494 397,9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85 341,8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664 418,7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107 356,9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</w:t>
            </w:r>
          </w:p>
        </w:tc>
      </w:tr>
      <w:tr w:rsidR="00B53A9E" w:rsidRPr="00B91AF0">
        <w:trPr>
          <w:trHeight w:val="49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56 930,6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9 836,0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101 011,0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16 137,4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B53A9E" w:rsidRPr="00B91AF0">
        <w:trPr>
          <w:trHeight w:val="30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86 458,6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9 592,2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91 308,9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23 450,1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25,7</w:t>
            </w:r>
          </w:p>
        </w:tc>
      </w:tr>
      <w:tr w:rsidR="00B53A9E" w:rsidRPr="00B91AF0">
        <w:trPr>
          <w:trHeight w:val="39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3318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1 405,8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1 343,4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B53A9E" w:rsidRPr="00B91AF0">
        <w:trPr>
          <w:trHeight w:val="73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B91AF0">
              <w:rPr>
                <w:color w:val="000000"/>
                <w:sz w:val="18"/>
                <w:szCs w:val="18"/>
              </w:rPr>
              <w:t>бслуживание государственного и муниципального долга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2 987,9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375,3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1 517,3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B53A9E" w:rsidRPr="00B91AF0">
        <w:trPr>
          <w:trHeight w:val="30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1AF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0E4B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1AF0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B91A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823 895,1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130 704,7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1 016 395,7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171 246,9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16,8</w:t>
            </w:r>
          </w:p>
        </w:tc>
      </w:tr>
    </w:tbl>
    <w:p w:rsidR="00B53A9E" w:rsidRPr="00B91AF0" w:rsidRDefault="00B53A9E" w:rsidP="00476EB6">
      <w:pPr>
        <w:jc w:val="both"/>
        <w:rPr>
          <w:sz w:val="18"/>
          <w:szCs w:val="18"/>
        </w:rPr>
      </w:pPr>
    </w:p>
    <w:p w:rsidR="00B53A9E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BAB">
        <w:rPr>
          <w:sz w:val="28"/>
          <w:szCs w:val="28"/>
        </w:rPr>
        <w:t xml:space="preserve">В результате анализа  установлено, что </w:t>
      </w:r>
      <w:r>
        <w:rPr>
          <w:sz w:val="28"/>
          <w:szCs w:val="28"/>
        </w:rPr>
        <w:t xml:space="preserve">наиболее высокий удельный вес расходов в отчетном периоде  2014 года приходится на разделы: </w:t>
      </w:r>
    </w:p>
    <w:p w:rsidR="00B53A9E" w:rsidRDefault="00B53A9E" w:rsidP="0044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- 700 «Образование» – 62,7 %; </w:t>
      </w:r>
    </w:p>
    <w:p w:rsidR="00B53A9E" w:rsidRDefault="00B53A9E" w:rsidP="004443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- 1000 «Социальная политика» – 13,7%; </w:t>
      </w:r>
    </w:p>
    <w:p w:rsidR="00B53A9E" w:rsidRDefault="00B53A9E" w:rsidP="004443EA">
      <w:pPr>
        <w:jc w:val="both"/>
        <w:rPr>
          <w:sz w:val="28"/>
          <w:szCs w:val="28"/>
        </w:rPr>
      </w:pPr>
      <w:r>
        <w:rPr>
          <w:sz w:val="28"/>
          <w:szCs w:val="28"/>
        </w:rPr>
        <w:t>- 100 «Общегосударственные вопросы» – 11,1%;</w:t>
      </w:r>
    </w:p>
    <w:p w:rsidR="00B53A9E" w:rsidRDefault="00B53A9E" w:rsidP="004443EA">
      <w:pPr>
        <w:jc w:val="both"/>
        <w:rPr>
          <w:sz w:val="28"/>
          <w:szCs w:val="28"/>
        </w:rPr>
      </w:pPr>
      <w:r>
        <w:rPr>
          <w:sz w:val="28"/>
          <w:szCs w:val="28"/>
        </w:rPr>
        <w:t>- 800 «Культура, кинематография» – 9,4%.</w:t>
      </w:r>
    </w:p>
    <w:p w:rsidR="00B53A9E" w:rsidRDefault="00B53A9E" w:rsidP="009A7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7603">
        <w:rPr>
          <w:sz w:val="28"/>
          <w:szCs w:val="28"/>
        </w:rPr>
        <w:t>Н</w:t>
      </w:r>
      <w:r>
        <w:rPr>
          <w:sz w:val="28"/>
          <w:szCs w:val="28"/>
        </w:rPr>
        <w:t>аименьший удельный в</w:t>
      </w:r>
      <w:r w:rsidRPr="00DE7603">
        <w:rPr>
          <w:sz w:val="28"/>
          <w:szCs w:val="28"/>
        </w:rPr>
        <w:t xml:space="preserve">ес </w:t>
      </w:r>
      <w:r>
        <w:rPr>
          <w:sz w:val="28"/>
          <w:szCs w:val="28"/>
        </w:rPr>
        <w:t xml:space="preserve">расходов </w:t>
      </w:r>
      <w:r w:rsidRPr="00DE7603">
        <w:rPr>
          <w:sz w:val="28"/>
          <w:szCs w:val="28"/>
        </w:rPr>
        <w:t>приходится на:</w:t>
      </w:r>
    </w:p>
    <w:p w:rsidR="00B53A9E" w:rsidRDefault="00B53A9E" w:rsidP="00476EB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раздел 600 «Охрана окружающей среды» - 0% ;</w:t>
      </w:r>
    </w:p>
    <w:p w:rsidR="00B53A9E" w:rsidRDefault="00B53A9E" w:rsidP="00DE76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200 «Национальная оборона» - 0,1%;</w:t>
      </w:r>
    </w:p>
    <w:p w:rsidR="00B53A9E" w:rsidRDefault="00B53A9E" w:rsidP="00DE76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1100 «Физическая культура и спорт» - 0,1%;</w:t>
      </w:r>
    </w:p>
    <w:p w:rsidR="00B53A9E" w:rsidRDefault="00B53A9E" w:rsidP="005D674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раздел 300 </w:t>
      </w:r>
      <w:r w:rsidRPr="000E4BAB">
        <w:rPr>
          <w:sz w:val="28"/>
          <w:szCs w:val="28"/>
        </w:rPr>
        <w:t>«</w:t>
      </w:r>
      <w:r w:rsidRPr="000E4BAB">
        <w:rPr>
          <w:color w:val="000000"/>
          <w:sz w:val="28"/>
          <w:szCs w:val="28"/>
        </w:rPr>
        <w:t>Национальная б</w:t>
      </w:r>
      <w:r>
        <w:rPr>
          <w:color w:val="000000"/>
          <w:sz w:val="28"/>
          <w:szCs w:val="28"/>
        </w:rPr>
        <w:t>езопасность и правоохранительная</w:t>
      </w:r>
      <w:r w:rsidRPr="000E4BAB">
        <w:rPr>
          <w:color w:val="000000"/>
          <w:sz w:val="28"/>
          <w:szCs w:val="28"/>
        </w:rPr>
        <w:t xml:space="preserve"> деятельность»</w:t>
      </w:r>
      <w:r>
        <w:rPr>
          <w:color w:val="000000"/>
          <w:sz w:val="28"/>
          <w:szCs w:val="28"/>
        </w:rPr>
        <w:t xml:space="preserve"> - 0,2%;</w:t>
      </w:r>
    </w:p>
    <w:p w:rsidR="00B53A9E" w:rsidRDefault="00B53A9E" w:rsidP="00DE76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раздел 1300 </w:t>
      </w:r>
      <w:r w:rsidRPr="00D26FD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Pr="000E4BAB">
        <w:rPr>
          <w:color w:val="000000"/>
          <w:sz w:val="28"/>
          <w:szCs w:val="28"/>
        </w:rPr>
        <w:t>бслуживание государственного и муниципального долга</w:t>
      </w:r>
      <w:r w:rsidRPr="00D26F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- 0,2%;</w:t>
      </w:r>
    </w:p>
    <w:p w:rsidR="00B53A9E" w:rsidRDefault="00B53A9E" w:rsidP="00476E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раздел 400 </w:t>
      </w:r>
      <w:r w:rsidRPr="00D26FDF">
        <w:rPr>
          <w:sz w:val="28"/>
          <w:szCs w:val="28"/>
        </w:rPr>
        <w:t>«</w:t>
      </w:r>
      <w:r w:rsidRPr="000E4BAB">
        <w:rPr>
          <w:color w:val="000000"/>
          <w:sz w:val="28"/>
          <w:szCs w:val="28"/>
        </w:rPr>
        <w:t>Национальная экономика</w:t>
      </w:r>
      <w:r w:rsidRPr="00D26F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- 0,8%;</w:t>
      </w:r>
    </w:p>
    <w:p w:rsidR="00B53A9E" w:rsidRDefault="00B53A9E" w:rsidP="00DE76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раздел 500 «</w:t>
      </w:r>
      <w:r w:rsidRPr="000E4BAB">
        <w:rPr>
          <w:color w:val="000000"/>
          <w:sz w:val="28"/>
          <w:szCs w:val="28"/>
        </w:rPr>
        <w:t>Жилищно-коммунальное хозяйство</w:t>
      </w:r>
      <w:r w:rsidRPr="00D26F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26FDF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1,6</w:t>
      </w:r>
      <w:r w:rsidRPr="00D26FDF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B53A9E" w:rsidRDefault="00B53A9E" w:rsidP="0009032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Основная причина низкого исполнения по расходам - мероприятия по данным разделам запланированы на 2,3 и 4 кварталы 2014 года.</w:t>
      </w:r>
    </w:p>
    <w:p w:rsidR="00B53A9E" w:rsidRDefault="00B53A9E" w:rsidP="002E0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 исполнения  плановых назначений  бюджета Муниципального образования Красноуфимский округ  по расходам  в разрезе  ведомственной структуре расходов  в сравнении с аналогичным периодом 2013 года  представлен в таблице №4.</w:t>
      </w:r>
    </w:p>
    <w:p w:rsidR="00B53A9E" w:rsidRDefault="00B53A9E" w:rsidP="00DE62AA">
      <w:pPr>
        <w:jc w:val="right"/>
        <w:rPr>
          <w:sz w:val="28"/>
          <w:szCs w:val="28"/>
        </w:rPr>
      </w:pPr>
    </w:p>
    <w:p w:rsidR="00B53A9E" w:rsidRDefault="00B53A9E" w:rsidP="00DE62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№4 </w:t>
      </w:r>
    </w:p>
    <w:p w:rsidR="00B53A9E" w:rsidRDefault="00B53A9E" w:rsidP="00DE62AA">
      <w:pPr>
        <w:jc w:val="righ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900"/>
        <w:gridCol w:w="2340"/>
        <w:gridCol w:w="1042"/>
        <w:gridCol w:w="1080"/>
        <w:gridCol w:w="1080"/>
        <w:gridCol w:w="1260"/>
        <w:gridCol w:w="1080"/>
        <w:gridCol w:w="1118"/>
      </w:tblGrid>
      <w:tr w:rsidR="00B53A9E" w:rsidRPr="00B91AF0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B91A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B91AF0">
              <w:rPr>
                <w:color w:val="000000"/>
                <w:sz w:val="16"/>
                <w:szCs w:val="16"/>
              </w:rPr>
              <w:t>од ведомства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Default="00B53A9E" w:rsidP="00FE7C72">
            <w:pPr>
              <w:ind w:left="-36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B91AF0">
              <w:rPr>
                <w:color w:val="000000"/>
                <w:sz w:val="16"/>
                <w:szCs w:val="16"/>
              </w:rPr>
              <w:t xml:space="preserve">аименование главного </w:t>
            </w:r>
          </w:p>
          <w:p w:rsidR="00B53A9E" w:rsidRDefault="00B53A9E" w:rsidP="00FE7C72">
            <w:pPr>
              <w:ind w:left="-363"/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ра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B91AF0">
              <w:rPr>
                <w:color w:val="000000"/>
                <w:sz w:val="16"/>
                <w:szCs w:val="16"/>
              </w:rPr>
              <w:t>по</w:t>
            </w:r>
            <w:r>
              <w:rPr>
                <w:color w:val="000000"/>
                <w:sz w:val="16"/>
                <w:szCs w:val="16"/>
              </w:rPr>
              <w:t>рядителя -</w:t>
            </w:r>
          </w:p>
          <w:p w:rsidR="00B53A9E" w:rsidRPr="00B91AF0" w:rsidRDefault="00B53A9E" w:rsidP="00FE7C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B91AF0">
              <w:rPr>
                <w:color w:val="000000"/>
                <w:sz w:val="16"/>
                <w:szCs w:val="16"/>
              </w:rPr>
              <w:t>бюджетных средств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53A9E" w:rsidRPr="00B91AF0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53A9E" w:rsidRPr="00B91AF0" w:rsidRDefault="00B53A9E" w:rsidP="00190489">
            <w:pPr>
              <w:jc w:val="center"/>
              <w:rPr>
                <w:color w:val="000000"/>
                <w:sz w:val="18"/>
                <w:szCs w:val="18"/>
              </w:rPr>
            </w:pPr>
            <w:r w:rsidRPr="00B91AF0">
              <w:rPr>
                <w:color w:val="000000"/>
                <w:sz w:val="18"/>
                <w:szCs w:val="18"/>
              </w:rPr>
              <w:t>2013 год</w:t>
            </w:r>
          </w:p>
        </w:tc>
      </w:tr>
      <w:tr w:rsidR="00B53A9E" w:rsidRPr="00B91AF0">
        <w:trPr>
          <w:trHeight w:val="19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Объ</w:t>
            </w:r>
            <w:r>
              <w:rPr>
                <w:color w:val="000000"/>
                <w:sz w:val="16"/>
                <w:szCs w:val="16"/>
              </w:rPr>
              <w:t>ем бюджета по Решению Думы от 20</w:t>
            </w:r>
            <w:r w:rsidRPr="00B91AF0">
              <w:rPr>
                <w:color w:val="000000"/>
                <w:sz w:val="16"/>
                <w:szCs w:val="16"/>
              </w:rPr>
              <w:t xml:space="preserve">.12.2012  № </w:t>
            </w:r>
            <w:r>
              <w:rPr>
                <w:color w:val="000000"/>
                <w:sz w:val="16"/>
                <w:szCs w:val="16"/>
              </w:rPr>
              <w:t>75</w:t>
            </w:r>
            <w:r w:rsidRPr="00B91AF0">
              <w:rPr>
                <w:color w:val="000000"/>
                <w:sz w:val="16"/>
                <w:szCs w:val="16"/>
              </w:rPr>
              <w:t xml:space="preserve"> на 2013 год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B91AF0">
              <w:rPr>
                <w:color w:val="000000"/>
                <w:sz w:val="16"/>
                <w:szCs w:val="16"/>
              </w:rPr>
              <w:t xml:space="preserve">сполнение за </w:t>
            </w:r>
            <w:r>
              <w:rPr>
                <w:color w:val="000000"/>
                <w:sz w:val="16"/>
                <w:szCs w:val="16"/>
              </w:rPr>
              <w:t xml:space="preserve">1 кв. </w:t>
            </w:r>
            <w:r w:rsidRPr="00B91AF0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91AF0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B91AF0">
              <w:rPr>
                <w:color w:val="000000"/>
                <w:sz w:val="16"/>
                <w:szCs w:val="16"/>
              </w:rPr>
              <w:t>сполнение  к Решению Думы от 2</w:t>
            </w:r>
            <w:r>
              <w:rPr>
                <w:color w:val="000000"/>
                <w:sz w:val="16"/>
                <w:szCs w:val="16"/>
              </w:rPr>
              <w:t>0</w:t>
            </w:r>
            <w:r w:rsidRPr="00B91AF0">
              <w:rPr>
                <w:color w:val="000000"/>
                <w:sz w:val="16"/>
                <w:szCs w:val="16"/>
              </w:rPr>
              <w:t xml:space="preserve">.12.2012 № </w:t>
            </w:r>
            <w:r>
              <w:rPr>
                <w:color w:val="000000"/>
                <w:sz w:val="16"/>
                <w:szCs w:val="16"/>
              </w:rPr>
              <w:t>75</w:t>
            </w:r>
            <w:r w:rsidRPr="00B91AF0">
              <w:rPr>
                <w:color w:val="000000"/>
                <w:sz w:val="16"/>
                <w:szCs w:val="16"/>
              </w:rPr>
              <w:t xml:space="preserve"> на 2013 год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 xml:space="preserve">Объем бюджета по Решению Думы от </w:t>
            </w:r>
            <w:r>
              <w:rPr>
                <w:color w:val="000000"/>
                <w:sz w:val="16"/>
                <w:szCs w:val="16"/>
              </w:rPr>
              <w:t>19.12.2013г. №177</w:t>
            </w:r>
            <w:r w:rsidRPr="00B91AF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B91AF0">
              <w:rPr>
                <w:color w:val="000000"/>
                <w:sz w:val="16"/>
                <w:szCs w:val="16"/>
              </w:rPr>
              <w:t xml:space="preserve">сполнение за </w:t>
            </w:r>
            <w:r>
              <w:rPr>
                <w:color w:val="000000"/>
                <w:sz w:val="16"/>
                <w:szCs w:val="16"/>
              </w:rPr>
              <w:t xml:space="preserve">1 кв. </w:t>
            </w:r>
            <w:r w:rsidRPr="00B91AF0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B91AF0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B91AF0">
              <w:rPr>
                <w:color w:val="000000"/>
                <w:sz w:val="16"/>
                <w:szCs w:val="16"/>
              </w:rPr>
              <w:t xml:space="preserve">сполнение  к Решению Думы от </w:t>
            </w:r>
            <w:r>
              <w:rPr>
                <w:color w:val="000000"/>
                <w:sz w:val="16"/>
                <w:szCs w:val="16"/>
              </w:rPr>
              <w:t>19.12.2013г. №177</w:t>
            </w:r>
            <w:r w:rsidRPr="00B91AF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FE7C72" w:rsidRDefault="00B53A9E" w:rsidP="00302A27">
            <w:pPr>
              <w:jc w:val="center"/>
              <w:rPr>
                <w:color w:val="000000"/>
                <w:sz w:val="18"/>
                <w:szCs w:val="18"/>
              </w:rPr>
            </w:pPr>
            <w:r w:rsidRPr="00FE7C7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FE7C72" w:rsidRDefault="00B53A9E" w:rsidP="00302A27">
            <w:pPr>
              <w:jc w:val="center"/>
              <w:rPr>
                <w:color w:val="000000"/>
                <w:sz w:val="18"/>
                <w:szCs w:val="18"/>
              </w:rPr>
            </w:pPr>
            <w:r w:rsidRPr="00FE7C72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FE7C72" w:rsidRDefault="00B53A9E" w:rsidP="00302A27">
            <w:pPr>
              <w:jc w:val="center"/>
              <w:rPr>
                <w:color w:val="000000"/>
                <w:sz w:val="18"/>
                <w:szCs w:val="18"/>
              </w:rPr>
            </w:pPr>
            <w:r w:rsidRPr="00FE7C7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FE7C72" w:rsidRDefault="00B53A9E" w:rsidP="00302A27">
            <w:pPr>
              <w:jc w:val="center"/>
              <w:rPr>
                <w:color w:val="000000"/>
                <w:sz w:val="18"/>
                <w:szCs w:val="18"/>
              </w:rPr>
            </w:pPr>
            <w:r w:rsidRPr="00FE7C7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FE7C72" w:rsidRDefault="00B53A9E" w:rsidP="00302A27">
            <w:pPr>
              <w:jc w:val="center"/>
              <w:rPr>
                <w:color w:val="000000"/>
                <w:sz w:val="18"/>
                <w:szCs w:val="18"/>
              </w:rPr>
            </w:pPr>
            <w:r w:rsidRPr="00FE7C72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FE7C72" w:rsidRDefault="00B53A9E" w:rsidP="00302A27">
            <w:pPr>
              <w:jc w:val="center"/>
              <w:rPr>
                <w:color w:val="000000"/>
                <w:sz w:val="18"/>
                <w:szCs w:val="18"/>
              </w:rPr>
            </w:pPr>
            <w:r w:rsidRPr="00FE7C72">
              <w:rPr>
                <w:color w:val="000000"/>
                <w:sz w:val="18"/>
                <w:szCs w:val="18"/>
              </w:rPr>
              <w:t>%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242 437,5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24 063,9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206 686,9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37 068,9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7 557,1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1 773,5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3 151,4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487 035,5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84 271,0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654 090,5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105 793,9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</w:tr>
      <w:tr w:rsidR="00B53A9E" w:rsidRPr="00B91AF0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both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63 357,6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10 832,2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109 612,0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17 600,0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16,1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3 502,4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2 919,0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1 342,0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1 318,6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Красноуфимская районная избирательная. комиссия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53A9E" w:rsidRPr="00B91AF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jc w:val="center"/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190489">
            <w:pPr>
              <w:rPr>
                <w:color w:val="000000"/>
                <w:sz w:val="16"/>
                <w:szCs w:val="16"/>
              </w:rPr>
            </w:pPr>
            <w:r w:rsidRPr="00B91AF0">
              <w:rPr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17 967,0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38 617,4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9 674,8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</w:t>
            </w:r>
          </w:p>
        </w:tc>
      </w:tr>
      <w:tr w:rsidR="00B53A9E" w:rsidRPr="00B91AF0">
        <w:trPr>
          <w:trHeight w:val="30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53A9E" w:rsidRPr="00B91AF0" w:rsidRDefault="00B53A9E" w:rsidP="00302A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B91AF0">
              <w:rPr>
                <w:b/>
                <w:bCs/>
                <w:color w:val="000000"/>
                <w:sz w:val="16"/>
                <w:szCs w:val="16"/>
              </w:rPr>
              <w:t>того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823 895,1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130 704,6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1 016 395,7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171 246,9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B91AF0" w:rsidRDefault="00B53A9E" w:rsidP="00302A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</w:tr>
    </w:tbl>
    <w:p w:rsidR="00B53A9E" w:rsidRPr="00B91AF0" w:rsidRDefault="00B53A9E" w:rsidP="00EA0B2D">
      <w:pPr>
        <w:jc w:val="right"/>
        <w:rPr>
          <w:sz w:val="18"/>
          <w:szCs w:val="18"/>
        </w:rPr>
      </w:pPr>
    </w:p>
    <w:p w:rsidR="00B53A9E" w:rsidRDefault="00B53A9E" w:rsidP="0047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объем финансирования составляет по главным распорядителям:</w:t>
      </w:r>
    </w:p>
    <w:p w:rsidR="00B53A9E" w:rsidRDefault="00B53A9E" w:rsidP="00D13B34">
      <w:pPr>
        <w:jc w:val="both"/>
        <w:rPr>
          <w:sz w:val="28"/>
          <w:szCs w:val="28"/>
        </w:rPr>
      </w:pPr>
      <w:r>
        <w:rPr>
          <w:sz w:val="28"/>
          <w:szCs w:val="28"/>
        </w:rPr>
        <w:t>- «МОУО  МО Красноуфимский округ» в сумме 105 793,9 тыс. руб. или 10,4 % от</w:t>
      </w:r>
      <w:r w:rsidRPr="006C37B8">
        <w:rPr>
          <w:sz w:val="28"/>
          <w:szCs w:val="28"/>
        </w:rPr>
        <w:t xml:space="preserve"> </w:t>
      </w:r>
      <w:r>
        <w:rPr>
          <w:sz w:val="28"/>
          <w:szCs w:val="28"/>
        </w:rPr>
        <w:t>уточненных годовых бюджетных назначений;</w:t>
      </w:r>
    </w:p>
    <w:p w:rsidR="00B53A9E" w:rsidRPr="00B91AF0" w:rsidRDefault="00B53A9E" w:rsidP="00D13B34">
      <w:pPr>
        <w:jc w:val="both"/>
        <w:rPr>
          <w:color w:val="000000"/>
          <w:sz w:val="16"/>
          <w:szCs w:val="16"/>
        </w:rPr>
      </w:pPr>
      <w:r>
        <w:rPr>
          <w:sz w:val="28"/>
          <w:szCs w:val="28"/>
        </w:rPr>
        <w:t>- «</w:t>
      </w:r>
      <w:r w:rsidRPr="00D13B34">
        <w:rPr>
          <w:color w:val="000000"/>
          <w:sz w:val="28"/>
          <w:szCs w:val="28"/>
        </w:rPr>
        <w:t>Администрация  МО Красноуфимский округ</w:t>
      </w:r>
      <w:r>
        <w:rPr>
          <w:color w:val="000000"/>
          <w:sz w:val="28"/>
          <w:szCs w:val="28"/>
        </w:rPr>
        <w:t xml:space="preserve">» в сумме 37 068,9 тыс.рублей или 3,7% от </w:t>
      </w:r>
      <w:r>
        <w:rPr>
          <w:sz w:val="28"/>
          <w:szCs w:val="28"/>
        </w:rPr>
        <w:t>уточненных годовых бюджетных назначений;</w:t>
      </w:r>
    </w:p>
    <w:p w:rsidR="00B53A9E" w:rsidRDefault="00B53A9E" w:rsidP="00D13B34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13B34">
        <w:rPr>
          <w:color w:val="000000"/>
          <w:sz w:val="28"/>
          <w:szCs w:val="28"/>
        </w:rPr>
        <w:t>Отдел культуры и туризма  администрации  МО Красноуфимский округ</w:t>
      </w:r>
      <w:r>
        <w:rPr>
          <w:color w:val="000000"/>
          <w:sz w:val="28"/>
          <w:szCs w:val="28"/>
        </w:rPr>
        <w:t xml:space="preserve">» в сумме 17 600,0 тыс.рублей или 1,7% от </w:t>
      </w:r>
      <w:r>
        <w:rPr>
          <w:sz w:val="28"/>
          <w:szCs w:val="28"/>
        </w:rPr>
        <w:t>уточненных годовых бюджетных назначений.</w:t>
      </w:r>
    </w:p>
    <w:p w:rsidR="00B53A9E" w:rsidRPr="00B91AF0" w:rsidRDefault="00B53A9E" w:rsidP="00D13B34">
      <w:pPr>
        <w:jc w:val="both"/>
        <w:rPr>
          <w:color w:val="000000"/>
          <w:sz w:val="16"/>
          <w:szCs w:val="16"/>
        </w:rPr>
      </w:pPr>
    </w:p>
    <w:p w:rsidR="00B53A9E" w:rsidRPr="004A7705" w:rsidRDefault="00B53A9E" w:rsidP="00057F28">
      <w:pPr>
        <w:ind w:firstLine="709"/>
        <w:jc w:val="both"/>
        <w:rPr>
          <w:sz w:val="28"/>
          <w:szCs w:val="28"/>
        </w:rPr>
      </w:pPr>
      <w:r w:rsidRPr="004A7705">
        <w:rPr>
          <w:sz w:val="28"/>
          <w:szCs w:val="28"/>
        </w:rPr>
        <w:t xml:space="preserve">На содержание органов  местного самоуправления  в бюджете МО Красноуфимский  округ на 2014 год предусмотрены бюджетные ассигнования  в сумме </w:t>
      </w:r>
      <w:r w:rsidRPr="0080294E">
        <w:rPr>
          <w:sz w:val="28"/>
          <w:szCs w:val="28"/>
        </w:rPr>
        <w:t xml:space="preserve">49 667,0  </w:t>
      </w:r>
      <w:r w:rsidRPr="004A7705">
        <w:rPr>
          <w:sz w:val="28"/>
          <w:szCs w:val="28"/>
        </w:rPr>
        <w:t>тыс. рублей, что соответствует нормативу, определенному Постановлением Правительства Свердловской области от 12.09.201</w:t>
      </w:r>
      <w:r>
        <w:rPr>
          <w:sz w:val="28"/>
          <w:szCs w:val="28"/>
        </w:rPr>
        <w:t>3</w:t>
      </w:r>
      <w:r w:rsidRPr="004A7705">
        <w:rPr>
          <w:sz w:val="28"/>
          <w:szCs w:val="28"/>
        </w:rPr>
        <w:t xml:space="preserve"> №</w:t>
      </w:r>
      <w:r>
        <w:rPr>
          <w:sz w:val="28"/>
          <w:szCs w:val="28"/>
        </w:rPr>
        <w:t>1109</w:t>
      </w:r>
      <w:r w:rsidRPr="004A7705">
        <w:rPr>
          <w:sz w:val="28"/>
          <w:szCs w:val="28"/>
        </w:rPr>
        <w:t>-ПП «Об утверждении нормативов формирования  расходов на содержание органов  местного самоуправления  муниципальных образований, расположенных на территории Свердловской об</w:t>
      </w:r>
      <w:r>
        <w:rPr>
          <w:sz w:val="28"/>
          <w:szCs w:val="28"/>
        </w:rPr>
        <w:t>ласти, на 2014</w:t>
      </w:r>
      <w:r w:rsidRPr="004A770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(49 667,0 тыс.рублей)</w:t>
      </w:r>
      <w:r w:rsidRPr="004A7705">
        <w:rPr>
          <w:sz w:val="28"/>
          <w:szCs w:val="28"/>
        </w:rPr>
        <w:t xml:space="preserve">. Исполнение за </w:t>
      </w:r>
      <w:r>
        <w:rPr>
          <w:sz w:val="28"/>
          <w:szCs w:val="28"/>
        </w:rPr>
        <w:t>1 квартал 2014</w:t>
      </w:r>
      <w:r w:rsidRPr="004A7705">
        <w:rPr>
          <w:sz w:val="28"/>
          <w:szCs w:val="28"/>
        </w:rPr>
        <w:t xml:space="preserve"> года составило в сумме </w:t>
      </w:r>
      <w:r>
        <w:rPr>
          <w:sz w:val="28"/>
          <w:szCs w:val="28"/>
        </w:rPr>
        <w:t>9 426,3</w:t>
      </w:r>
      <w:r w:rsidRPr="004A770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80294E">
        <w:rPr>
          <w:sz w:val="28"/>
          <w:szCs w:val="28"/>
        </w:rPr>
        <w:t>или 19,0</w:t>
      </w:r>
      <w:r>
        <w:rPr>
          <w:sz w:val="28"/>
          <w:szCs w:val="28"/>
        </w:rPr>
        <w:t>% от утвержденных бюджетных назначений</w:t>
      </w:r>
      <w:r w:rsidRPr="004A7705">
        <w:rPr>
          <w:sz w:val="28"/>
          <w:szCs w:val="28"/>
        </w:rPr>
        <w:t>.</w:t>
      </w:r>
    </w:p>
    <w:p w:rsidR="00B53A9E" w:rsidRDefault="00B53A9E" w:rsidP="00476EB6">
      <w:pPr>
        <w:ind w:firstLine="709"/>
        <w:jc w:val="both"/>
        <w:rPr>
          <w:sz w:val="28"/>
          <w:szCs w:val="28"/>
        </w:rPr>
      </w:pPr>
      <w:r w:rsidRPr="004A7705">
        <w:rPr>
          <w:sz w:val="28"/>
          <w:szCs w:val="28"/>
        </w:rPr>
        <w:t>Анализ  исполнения  расходов на содержание органов  местного самоуправления в разделе ведомственных структур  представлен в таблице №5.</w:t>
      </w:r>
    </w:p>
    <w:p w:rsidR="00B53A9E" w:rsidRDefault="00B53A9E" w:rsidP="0054118C">
      <w:pPr>
        <w:ind w:firstLine="709"/>
        <w:jc w:val="right"/>
        <w:rPr>
          <w:sz w:val="28"/>
          <w:szCs w:val="28"/>
        </w:rPr>
      </w:pPr>
    </w:p>
    <w:p w:rsidR="00B53A9E" w:rsidRDefault="00B53A9E" w:rsidP="0054118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№5</w:t>
      </w:r>
    </w:p>
    <w:p w:rsidR="00B53A9E" w:rsidRDefault="00B53A9E" w:rsidP="0054118C">
      <w:pPr>
        <w:ind w:firstLine="709"/>
        <w:jc w:val="right"/>
        <w:rPr>
          <w:sz w:val="28"/>
          <w:szCs w:val="28"/>
        </w:rPr>
      </w:pPr>
    </w:p>
    <w:tbl>
      <w:tblPr>
        <w:tblW w:w="10080" w:type="dxa"/>
        <w:tblInd w:w="-106" w:type="dxa"/>
        <w:tblLayout w:type="fixed"/>
        <w:tblLook w:val="00A0"/>
      </w:tblPr>
      <w:tblGrid>
        <w:gridCol w:w="1080"/>
        <w:gridCol w:w="3570"/>
        <w:gridCol w:w="1830"/>
        <w:gridCol w:w="1800"/>
        <w:gridCol w:w="1800"/>
      </w:tblGrid>
      <w:tr w:rsidR="00B53A9E" w:rsidRPr="00924272">
        <w:trPr>
          <w:trHeight w:val="9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DE62AA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A9E" w:rsidRPr="002B12F9" w:rsidRDefault="00B53A9E" w:rsidP="00DE62AA">
            <w:pPr>
              <w:ind w:left="-363"/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Наименование главного</w:t>
            </w:r>
          </w:p>
          <w:p w:rsidR="00B53A9E" w:rsidRPr="002B12F9" w:rsidRDefault="00B53A9E" w:rsidP="00DE62AA">
            <w:pPr>
              <w:ind w:left="-363"/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распорядителя -</w:t>
            </w:r>
          </w:p>
          <w:p w:rsidR="00B53A9E" w:rsidRPr="002B12F9" w:rsidRDefault="00B53A9E" w:rsidP="00DE62AA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бюджетных средств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A9E" w:rsidRPr="002B12F9" w:rsidRDefault="00B53A9E" w:rsidP="002B12F9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 xml:space="preserve">Объем бюджета по Решению Думы от  </w:t>
            </w:r>
            <w:r>
              <w:rPr>
                <w:color w:val="000000"/>
                <w:sz w:val="22"/>
                <w:szCs w:val="22"/>
              </w:rPr>
              <w:t>19.12.2013г. №177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2B12F9" w:rsidRDefault="00B53A9E" w:rsidP="002B12F9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 xml:space="preserve">Исполнение за </w:t>
            </w:r>
            <w:r>
              <w:rPr>
                <w:color w:val="000000"/>
                <w:sz w:val="22"/>
                <w:szCs w:val="22"/>
              </w:rPr>
              <w:t xml:space="preserve">1 кв. </w:t>
            </w:r>
            <w:r w:rsidRPr="002B12F9">
              <w:rPr>
                <w:color w:val="000000"/>
                <w:sz w:val="22"/>
                <w:szCs w:val="22"/>
              </w:rPr>
              <w:t>2013г.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3A9E" w:rsidRPr="002B12F9" w:rsidRDefault="00B53A9E" w:rsidP="002B12F9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 xml:space="preserve">Исполнение  к Решению Думы от  </w:t>
            </w:r>
            <w:r>
              <w:rPr>
                <w:color w:val="000000"/>
                <w:sz w:val="22"/>
                <w:szCs w:val="22"/>
              </w:rPr>
              <w:t>19.12.2013г. №177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3A9E" w:rsidRPr="002B12F9" w:rsidRDefault="00B53A9E" w:rsidP="00924272">
            <w:pPr>
              <w:jc w:val="right"/>
              <w:rPr>
                <w:color w:val="000000"/>
              </w:rPr>
            </w:pPr>
          </w:p>
        </w:tc>
        <w:tc>
          <w:tcPr>
            <w:tcW w:w="3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441CC8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%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302A27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441CC8">
            <w:pPr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Администрация  МО Красноуфимский округ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35 231,0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6 297,1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302A27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441CC8">
            <w:pPr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КУИ  МО Красноуфимский округ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1 459,4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302A27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441CC8">
            <w:pPr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МОУО  МО Красноуфимский округ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2 302,0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521,7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302A27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441CC8">
            <w:pPr>
              <w:jc w:val="both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302A27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441CC8">
            <w:pPr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Дума  МО Красноуфимский округ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2 366,0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302A27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441CC8">
            <w:pPr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Ревизионная комиссия МО Красноуфимский округ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1 318,6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717F24">
            <w:pPr>
              <w:jc w:val="center"/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2B12F9" w:rsidRDefault="00B53A9E" w:rsidP="00717F24">
            <w:pPr>
              <w:rPr>
                <w:color w:val="000000"/>
              </w:rPr>
            </w:pPr>
            <w:r w:rsidRPr="002B12F9">
              <w:rPr>
                <w:color w:val="000000"/>
                <w:sz w:val="22"/>
                <w:szCs w:val="22"/>
              </w:rPr>
              <w:t>Финансовый отдел  администрации  МО Красноуфимский округ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6 522,0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1 650,7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B91A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</w:tr>
      <w:tr w:rsidR="00B53A9E" w:rsidRPr="00924272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2B12F9" w:rsidRDefault="00B53A9E" w:rsidP="00302A27">
            <w:pPr>
              <w:jc w:val="center"/>
              <w:rPr>
                <w:color w:val="00000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A9E" w:rsidRPr="00574354" w:rsidRDefault="00B53A9E" w:rsidP="00A25EDC">
            <w:pPr>
              <w:jc w:val="center"/>
              <w:rPr>
                <w:b/>
                <w:bCs/>
                <w:color w:val="000000"/>
              </w:rPr>
            </w:pPr>
            <w:r w:rsidRPr="0057435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74354" w:rsidRDefault="00B53A9E" w:rsidP="00574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49 667,0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74354" w:rsidRDefault="00B53A9E" w:rsidP="00B91A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9 426,3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3A9E" w:rsidRPr="00574354" w:rsidRDefault="00B53A9E" w:rsidP="00B91A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</w:t>
            </w:r>
          </w:p>
        </w:tc>
      </w:tr>
    </w:tbl>
    <w:p w:rsidR="00B53A9E" w:rsidRDefault="00B53A9E" w:rsidP="000311C0">
      <w:pPr>
        <w:tabs>
          <w:tab w:val="center" w:pos="7645"/>
          <w:tab w:val="right" w:pos="1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3A9E" w:rsidRDefault="00B53A9E" w:rsidP="00B71459">
      <w:pPr>
        <w:tabs>
          <w:tab w:val="center" w:pos="7645"/>
          <w:tab w:val="right" w:pos="14570"/>
        </w:tabs>
        <w:ind w:firstLine="709"/>
        <w:jc w:val="center"/>
        <w:rPr>
          <w:b/>
          <w:bCs/>
          <w:sz w:val="28"/>
          <w:szCs w:val="28"/>
        </w:rPr>
      </w:pPr>
      <w:r w:rsidRPr="00D4415F">
        <w:rPr>
          <w:b/>
          <w:bCs/>
          <w:sz w:val="28"/>
          <w:szCs w:val="28"/>
        </w:rPr>
        <w:t>Исполнение средств резервного фонда</w:t>
      </w:r>
    </w:p>
    <w:p w:rsidR="00B53A9E" w:rsidRDefault="00B53A9E" w:rsidP="00302A27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</w:p>
    <w:p w:rsidR="00B53A9E" w:rsidRDefault="00B53A9E" w:rsidP="00302A27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  <w:r w:rsidRPr="00872687">
        <w:rPr>
          <w:sz w:val="28"/>
          <w:szCs w:val="28"/>
        </w:rPr>
        <w:t>Решением Дум</w:t>
      </w:r>
      <w:r>
        <w:rPr>
          <w:sz w:val="28"/>
          <w:szCs w:val="28"/>
        </w:rPr>
        <w:t>ы  МО Красноуфимский округ  от 1</w:t>
      </w:r>
      <w:r w:rsidRPr="00872687">
        <w:rPr>
          <w:sz w:val="28"/>
          <w:szCs w:val="28"/>
        </w:rPr>
        <w:t>9.1</w:t>
      </w:r>
      <w:r>
        <w:rPr>
          <w:sz w:val="28"/>
          <w:szCs w:val="28"/>
        </w:rPr>
        <w:t>2</w:t>
      </w:r>
      <w:r w:rsidRPr="0087268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7268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177</w:t>
      </w:r>
      <w:r w:rsidRPr="00872687">
        <w:rPr>
          <w:sz w:val="28"/>
          <w:szCs w:val="28"/>
        </w:rPr>
        <w:t xml:space="preserve">  «О бюджете МО Красноуфимский округ на 201</w:t>
      </w:r>
      <w:r>
        <w:rPr>
          <w:sz w:val="28"/>
          <w:szCs w:val="28"/>
        </w:rPr>
        <w:t>4 и плановый период 2015-2016</w:t>
      </w:r>
      <w:r w:rsidRPr="0087268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872687">
        <w:rPr>
          <w:sz w:val="28"/>
          <w:szCs w:val="28"/>
        </w:rPr>
        <w:t xml:space="preserve">» (с изменениями) утвержден размер резервного фонда Администрации МО Красноуфимский округ в сумме </w:t>
      </w:r>
      <w:r>
        <w:rPr>
          <w:sz w:val="28"/>
          <w:szCs w:val="28"/>
        </w:rPr>
        <w:t>19</w:t>
      </w:r>
      <w:r w:rsidRPr="00872687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872687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Б</w:t>
      </w:r>
      <w:r w:rsidRPr="00872687">
        <w:rPr>
          <w:sz w:val="28"/>
          <w:szCs w:val="28"/>
        </w:rPr>
        <w:t>юджетные средства из резерв</w:t>
      </w:r>
      <w:r>
        <w:rPr>
          <w:sz w:val="28"/>
          <w:szCs w:val="28"/>
        </w:rPr>
        <w:t>ного фонда по состоянию на 01.04.2014 года не использовались.</w:t>
      </w:r>
    </w:p>
    <w:p w:rsidR="00B53A9E" w:rsidRDefault="00B53A9E" w:rsidP="00302A27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</w:p>
    <w:p w:rsidR="00B53A9E" w:rsidRDefault="00B53A9E" w:rsidP="00B71459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B53A9E" w:rsidRDefault="00B53A9E" w:rsidP="00302A27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</w:p>
    <w:p w:rsidR="00B53A9E" w:rsidRDefault="00B53A9E" w:rsidP="00E132FA">
      <w:pPr>
        <w:tabs>
          <w:tab w:val="center" w:pos="7645"/>
          <w:tab w:val="right" w:pos="14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2014 году  в МО Красноуфимский округ осуществляется переход к программному бюджету в полном объеме.</w:t>
      </w:r>
    </w:p>
    <w:p w:rsidR="00B53A9E" w:rsidRDefault="00B53A9E" w:rsidP="00302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2014 году  в МО Красноуфимский округ  действует 11 муниципальных программ.  За 1 квартал  2014 года финансирование осуществлялось по 8  муниципальным программам на общую сумму 169 747,8 тыс. рублей или  16,9%  к уточненным годовым назначениям (1 006 886,2 тыс.рублей).</w:t>
      </w:r>
    </w:p>
    <w:p w:rsidR="00B53A9E" w:rsidRDefault="00B53A9E" w:rsidP="00302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составил по Муниципальным программам </w:t>
      </w:r>
      <w:r w:rsidRPr="007319DD">
        <w:rPr>
          <w:sz w:val="28"/>
          <w:szCs w:val="28"/>
        </w:rPr>
        <w:t>МО Красноуфимский округ:</w:t>
      </w:r>
    </w:p>
    <w:p w:rsidR="00B53A9E" w:rsidRDefault="00B53A9E" w:rsidP="00FD77FE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«Развитие системы образования в муниципальном образовании Красноуфимский округ до 2020 года» в сумме 105 773,8 тыс.рублей или 10,5% к уточненным годовым назначениям;</w:t>
      </w:r>
    </w:p>
    <w:p w:rsidR="00B53A9E" w:rsidRDefault="00B53A9E" w:rsidP="007319DD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«Развитие  и модернизация жилищно-коммунального хозяйства и дорожного хозяйства, повышение энергетической эффективности в МО Красноуфимский округ до 2020 года» в сумме 27 482,2 тыс.рублей или 2,7% к уточненным годовым назначениям;</w:t>
      </w:r>
    </w:p>
    <w:p w:rsidR="00B53A9E" w:rsidRDefault="00B53A9E" w:rsidP="007319DD">
      <w:pPr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в МО Красноуфимский округ до 2020 года» в сумме 17 600,0 тыс.рублей или 1,8% к уточненным годовым назначениям.</w:t>
      </w:r>
    </w:p>
    <w:p w:rsidR="00B53A9E" w:rsidRDefault="00B53A9E" w:rsidP="00D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01.04.2014г. не все муниципальные программы приведены в соответствие с решением Думы от 1</w:t>
      </w:r>
      <w:r w:rsidRPr="00872687">
        <w:rPr>
          <w:sz w:val="28"/>
          <w:szCs w:val="28"/>
        </w:rPr>
        <w:t>9.1</w:t>
      </w:r>
      <w:r>
        <w:rPr>
          <w:sz w:val="28"/>
          <w:szCs w:val="28"/>
        </w:rPr>
        <w:t>2</w:t>
      </w:r>
      <w:r w:rsidRPr="00872687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7268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177</w:t>
      </w:r>
      <w:r w:rsidRPr="00872687">
        <w:rPr>
          <w:sz w:val="28"/>
          <w:szCs w:val="28"/>
        </w:rPr>
        <w:t xml:space="preserve">  «О бюджете МО Красноуфимский округ на 201</w:t>
      </w:r>
      <w:r>
        <w:rPr>
          <w:sz w:val="28"/>
          <w:szCs w:val="28"/>
        </w:rPr>
        <w:t>4 и плановый период 2015-2016</w:t>
      </w:r>
      <w:r w:rsidRPr="0087268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72687">
        <w:rPr>
          <w:sz w:val="28"/>
          <w:szCs w:val="28"/>
        </w:rPr>
        <w:t>» (с изменениями)</w:t>
      </w:r>
      <w:r>
        <w:rPr>
          <w:sz w:val="28"/>
          <w:szCs w:val="28"/>
        </w:rPr>
        <w:t>, так как</w:t>
      </w:r>
      <w:r w:rsidRPr="0087268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03.02.2014г. №1-ФЗ «О приостановлении действия абзаца четвертого пункта 2 статьи 179 Бюджетного Кодекса Российской Федерации» установлено, что «в 2014 году государственные (муниципальные) программы подлежат приведению в соответствие с законом (решением) о бюджете до 1 мая 2014 года».</w:t>
      </w:r>
    </w:p>
    <w:p w:rsidR="00B53A9E" w:rsidRDefault="00B53A9E" w:rsidP="006F2D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B53A9E" w:rsidRDefault="00B53A9E" w:rsidP="00B71459">
      <w:pPr>
        <w:ind w:firstLine="709"/>
        <w:jc w:val="center"/>
        <w:rPr>
          <w:b/>
          <w:bCs/>
          <w:sz w:val="28"/>
          <w:szCs w:val="28"/>
        </w:rPr>
      </w:pPr>
      <w:r w:rsidRPr="00546F46">
        <w:rPr>
          <w:b/>
          <w:bCs/>
          <w:sz w:val="28"/>
          <w:szCs w:val="28"/>
        </w:rPr>
        <w:t>Источники финансирования  дефицита</w:t>
      </w:r>
    </w:p>
    <w:p w:rsidR="00B53A9E" w:rsidRDefault="00B53A9E" w:rsidP="006F2DE4">
      <w:pPr>
        <w:ind w:firstLine="709"/>
        <w:jc w:val="both"/>
        <w:rPr>
          <w:b/>
          <w:bCs/>
          <w:sz w:val="28"/>
          <w:szCs w:val="28"/>
        </w:rPr>
      </w:pPr>
    </w:p>
    <w:p w:rsidR="00B53A9E" w:rsidRDefault="00B53A9E" w:rsidP="002D6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квартал 2014 года исполнение  по источникам финансирования дефицита  бюджета  составило 200,3 тыс. рублей </w:t>
      </w:r>
      <w:r w:rsidRPr="00692499">
        <w:rPr>
          <w:sz w:val="28"/>
          <w:szCs w:val="28"/>
        </w:rPr>
        <w:t>на погашение  кредита</w:t>
      </w:r>
      <w:r>
        <w:rPr>
          <w:sz w:val="28"/>
          <w:szCs w:val="28"/>
        </w:rPr>
        <w:t xml:space="preserve"> полученным для покрытия  временного кассового разрыва в 2011 году.  </w:t>
      </w:r>
    </w:p>
    <w:p w:rsidR="00B53A9E" w:rsidRDefault="00B53A9E" w:rsidP="00B7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на 01.01.2015 года устанавливается в объеме 31 180,4 тыс.рублей, в том числе: предельный объем обязательств по муниципальным гарантиям устанавливается в размере 30 578,1 тыс.рублей. </w:t>
      </w:r>
    </w:p>
    <w:p w:rsidR="00B53A9E" w:rsidRDefault="00B53A9E" w:rsidP="00B7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основной внутренний долг по состоянию на 01.04.2014г. составил 53 757,4 тыс.рублей, из них: основной долг по муниципальным гарантиям 52 355,5 тыс.рублей, задолженность по бюджетным кредитам 1 402 тыс.рублей, что соответствует данным Муниципальной долговой книги. Превышение в сумме 21 577,1 тыс.рублей (в том числе: по муниципальной гарантии в сумме 21 777,4 тыс.рублей) является нарушением ст. 107 БК РФ «Предельный объем государственного долга субъекта Российской Федерации, муниципального долга». </w:t>
      </w:r>
    </w:p>
    <w:p w:rsidR="00B53A9E" w:rsidRDefault="00B53A9E" w:rsidP="00B7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исполнение  муниципальных гарантий  за 1 квартал 2014 года  средства  не  направлялись.</w:t>
      </w:r>
    </w:p>
    <w:p w:rsidR="00B53A9E" w:rsidRDefault="00B53A9E" w:rsidP="00B7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на 01.04.2014 год составила 4 229,9 тыс.рублей, в том числе задолженность учреждений:</w:t>
      </w:r>
    </w:p>
    <w:p w:rsidR="00B53A9E" w:rsidRDefault="00B53A9E" w:rsidP="00B71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коммунальным услугам – 596,5 тыс.рублей;</w:t>
      </w:r>
    </w:p>
    <w:p w:rsidR="00B53A9E" w:rsidRDefault="00B53A9E" w:rsidP="00B71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услугам на содержание имущества – 1 504,7 тыс.рублей;</w:t>
      </w:r>
    </w:p>
    <w:p w:rsidR="00B53A9E" w:rsidRDefault="00B53A9E" w:rsidP="00B71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оплате договоров на приобретение сырья и материалов в целях оказания муниципальных услуг – 1 170,2 тыс.рублей;</w:t>
      </w:r>
    </w:p>
    <w:p w:rsidR="00B53A9E" w:rsidRDefault="00B53A9E" w:rsidP="00B71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оплате договоров  на приобретение строительство, реконструкцию, техническое перевооружение, расширение и модернизацию объектов, относящихся к основным средствам – 16,3 тыс.рублей;</w:t>
      </w:r>
    </w:p>
    <w:p w:rsidR="00B53A9E" w:rsidRDefault="00B53A9E" w:rsidP="00B71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прочим работам, услугам – 808,9 тыс.рублей;</w:t>
      </w:r>
    </w:p>
    <w:p w:rsidR="00B53A9E" w:rsidRDefault="00B53A9E" w:rsidP="00B71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транспортным услугам – 9,0 тыс.рублей;</w:t>
      </w:r>
    </w:p>
    <w:p w:rsidR="00B53A9E" w:rsidRDefault="00B53A9E" w:rsidP="00B7145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прочим расходам – 123,8 тыс.рублей.</w:t>
      </w:r>
    </w:p>
    <w:p w:rsidR="00B53A9E" w:rsidRDefault="00B53A9E" w:rsidP="00B7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 с аналогичным периодом 2013  года просроченная кредиторская задолженность </w:t>
      </w:r>
      <w:r w:rsidRPr="004D4B63">
        <w:rPr>
          <w:sz w:val="28"/>
          <w:szCs w:val="28"/>
        </w:rPr>
        <w:t>уменьшилась на 2 785,3 тыс. руб. (7 015,2 тыс. руб.).</w:t>
      </w:r>
      <w:r>
        <w:rPr>
          <w:sz w:val="28"/>
          <w:szCs w:val="28"/>
        </w:rPr>
        <w:t xml:space="preserve"> </w:t>
      </w:r>
    </w:p>
    <w:p w:rsidR="00B53A9E" w:rsidRDefault="00B53A9E" w:rsidP="00B71459">
      <w:pPr>
        <w:ind w:firstLine="709"/>
        <w:jc w:val="both"/>
        <w:rPr>
          <w:sz w:val="28"/>
          <w:szCs w:val="28"/>
        </w:rPr>
      </w:pPr>
      <w:r w:rsidRPr="00A02C7E">
        <w:rPr>
          <w:sz w:val="28"/>
          <w:szCs w:val="28"/>
        </w:rPr>
        <w:t xml:space="preserve">Задолженность МУП «Энергосервис» по бюджетным кредитам, подлежащим погашению в 2014 году  составляет </w:t>
      </w:r>
      <w:r>
        <w:rPr>
          <w:sz w:val="28"/>
          <w:szCs w:val="28"/>
        </w:rPr>
        <w:t>21 437,7</w:t>
      </w:r>
      <w:r w:rsidRPr="00A02C7E">
        <w:rPr>
          <w:sz w:val="28"/>
          <w:szCs w:val="28"/>
        </w:rPr>
        <w:t xml:space="preserve"> тыс. рублей. В  отчётном периоде 201</w:t>
      </w:r>
      <w:r>
        <w:rPr>
          <w:sz w:val="28"/>
          <w:szCs w:val="28"/>
        </w:rPr>
        <w:t>4</w:t>
      </w:r>
      <w:r w:rsidRPr="00A02C7E">
        <w:rPr>
          <w:sz w:val="28"/>
          <w:szCs w:val="28"/>
        </w:rPr>
        <w:t xml:space="preserve"> года поступления по задолженность от  МУП «Энергосервис» не  осуществлялась.</w:t>
      </w:r>
      <w:bookmarkStart w:id="0" w:name="_GoBack"/>
      <w:bookmarkEnd w:id="0"/>
    </w:p>
    <w:p w:rsidR="00B53A9E" w:rsidRDefault="00B53A9E" w:rsidP="00B71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перед вышестоящим бюджетом по полученным кредитам на 01.04.2014 год составляет 1 401,9 тыс.рублей (по Соглашению №16 от 29.02.2012г.). В соответствии с графиком погашения муниципального долга по соглашению в 1 квартале 2014 года погашено 200,3 тыс.рублей.</w:t>
      </w:r>
    </w:p>
    <w:p w:rsidR="00B53A9E" w:rsidRDefault="00B53A9E" w:rsidP="00476EB6">
      <w:pPr>
        <w:ind w:firstLine="709"/>
        <w:jc w:val="both"/>
        <w:rPr>
          <w:sz w:val="28"/>
          <w:szCs w:val="28"/>
        </w:rPr>
      </w:pPr>
    </w:p>
    <w:p w:rsidR="00B53A9E" w:rsidRPr="003C74BD" w:rsidRDefault="00B53A9E" w:rsidP="00B71459">
      <w:pPr>
        <w:ind w:right="-1"/>
        <w:jc w:val="both"/>
        <w:rPr>
          <w:b/>
          <w:bCs/>
          <w:sz w:val="28"/>
          <w:szCs w:val="28"/>
        </w:rPr>
      </w:pPr>
      <w:r w:rsidRPr="000C0FB9">
        <w:rPr>
          <w:sz w:val="28"/>
          <w:szCs w:val="28"/>
        </w:rPr>
        <w:t xml:space="preserve">   </w:t>
      </w:r>
      <w:r w:rsidRPr="003C74BD">
        <w:rPr>
          <w:b/>
          <w:bCs/>
          <w:sz w:val="28"/>
          <w:szCs w:val="28"/>
        </w:rPr>
        <w:t xml:space="preserve">В Постановлении   администрации МО Красноуфимский округ  от </w:t>
      </w:r>
      <w:r>
        <w:rPr>
          <w:b/>
          <w:bCs/>
          <w:sz w:val="28"/>
          <w:szCs w:val="28"/>
        </w:rPr>
        <w:t>29.04.2014г. №670</w:t>
      </w:r>
      <w:r w:rsidRPr="003C74BD">
        <w:rPr>
          <w:b/>
          <w:bCs/>
          <w:sz w:val="28"/>
          <w:szCs w:val="28"/>
        </w:rPr>
        <w:t xml:space="preserve"> «Об утверждении отчета об исполнении бюджета МО Красно</w:t>
      </w:r>
      <w:r>
        <w:rPr>
          <w:b/>
          <w:bCs/>
          <w:sz w:val="28"/>
          <w:szCs w:val="28"/>
        </w:rPr>
        <w:t>уфимский округ за 1 квартал 2014</w:t>
      </w:r>
      <w:r w:rsidRPr="003C74BD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а» выявлены  следующие несоответствия</w:t>
      </w:r>
      <w:r w:rsidRPr="003C74BD">
        <w:rPr>
          <w:b/>
          <w:bCs/>
          <w:sz w:val="28"/>
          <w:szCs w:val="28"/>
        </w:rPr>
        <w:t>:</w:t>
      </w:r>
    </w:p>
    <w:p w:rsidR="00B53A9E" w:rsidRDefault="00B53A9E" w:rsidP="0047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пояснительной записке неверно указана сумма исполненных налоговых и неналоговых доходов – 1 004 278 300 рублей. Необходимо 29 627 158,52 рублей.</w:t>
      </w:r>
    </w:p>
    <w:p w:rsidR="00B53A9E" w:rsidRDefault="00B53A9E" w:rsidP="0047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к пояснительной записке ф.0503361 «Сведения о количестве государственных (муниципальных) учреждений неверно указано количество:</w:t>
      </w:r>
    </w:p>
    <w:p w:rsidR="00B53A9E" w:rsidRDefault="00B53A9E" w:rsidP="0047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автономных учреждений – два. Необходимо четыре («Черкасово», Приданниковская СОШ, Натальинская СОШ и Криулинская СОШ);</w:t>
      </w:r>
    </w:p>
    <w:p w:rsidR="00B53A9E" w:rsidRDefault="00B53A9E" w:rsidP="00476E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бюджетных учреждений – один. Необходимо два (Приданниковский детский сад, Криулинский детский сад).</w:t>
      </w:r>
    </w:p>
    <w:p w:rsidR="00B53A9E" w:rsidRDefault="00B53A9E" w:rsidP="00476EB6">
      <w:pPr>
        <w:ind w:firstLine="709"/>
        <w:jc w:val="both"/>
        <w:rPr>
          <w:sz w:val="28"/>
          <w:szCs w:val="28"/>
        </w:rPr>
      </w:pPr>
    </w:p>
    <w:p w:rsidR="00B53A9E" w:rsidRDefault="00B53A9E" w:rsidP="00B71459">
      <w:pPr>
        <w:ind w:right="-82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p w:rsidR="00B53A9E" w:rsidRDefault="00B53A9E" w:rsidP="00B71459">
      <w:pPr>
        <w:ind w:right="-82"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333333"/>
          <w:sz w:val="28"/>
          <w:szCs w:val="28"/>
        </w:rPr>
        <w:t xml:space="preserve">Представленное Постановление Администрации Муниципального </w:t>
      </w:r>
      <w:r>
        <w:rPr>
          <w:sz w:val="28"/>
          <w:szCs w:val="28"/>
        </w:rPr>
        <w:t>образования Красноуфимский округ от 29.04.2014г. №670 «Об утверждении отчета об исполнении бюджета МО Красноуфимский округ за 1 квартал 2014 года»</w:t>
      </w:r>
      <w:r>
        <w:rPr>
          <w:color w:val="333333"/>
          <w:sz w:val="28"/>
          <w:szCs w:val="28"/>
        </w:rPr>
        <w:t xml:space="preserve"> в целом соответствует требованиям Бюджетного кодекса РФ.</w:t>
      </w:r>
    </w:p>
    <w:p w:rsidR="00B53A9E" w:rsidRDefault="00B53A9E" w:rsidP="00E132FA">
      <w:pPr>
        <w:tabs>
          <w:tab w:val="left" w:pos="180"/>
        </w:tabs>
        <w:ind w:right="-82" w:hanging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  2. </w:t>
      </w:r>
      <w:r w:rsidRPr="00811144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табличных форм </w:t>
      </w:r>
      <w:r w:rsidRPr="0081114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Постановлении Администрации Муниципального </w:t>
      </w:r>
      <w:r>
        <w:rPr>
          <w:sz w:val="28"/>
          <w:szCs w:val="28"/>
        </w:rPr>
        <w:t xml:space="preserve">образования Красноуфимский округ от 29.04.2014г. №670 «Об утверждении отчета об исполнении бюджета МО Красноуфимский округ за 1 квартал 2014 года» </w:t>
      </w:r>
      <w:r>
        <w:rPr>
          <w:color w:val="333333"/>
          <w:sz w:val="28"/>
          <w:szCs w:val="28"/>
        </w:rPr>
        <w:t>соответствуют данным Отчёта об исполнении бюджета на 1 апреля 2014 года (форма 0503117).</w:t>
      </w:r>
    </w:p>
    <w:p w:rsidR="00B53A9E" w:rsidRDefault="00B53A9E" w:rsidP="00E132FA">
      <w:pPr>
        <w:ind w:left="180" w:right="-8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3. В пояснительную записку к </w:t>
      </w:r>
      <w:r>
        <w:rPr>
          <w:color w:val="333333"/>
          <w:sz w:val="28"/>
          <w:szCs w:val="28"/>
        </w:rPr>
        <w:t xml:space="preserve">Постановлению Администрации Муниципального </w:t>
      </w:r>
      <w:r>
        <w:rPr>
          <w:sz w:val="28"/>
          <w:szCs w:val="28"/>
        </w:rPr>
        <w:t>образования Красноуфимский округ от 29.04.2014г. №670 «Об утверждении отчета об исполнении бюджета МО Красноуфимский округ за 1 квартал 2014 года» необходимо внести изменения с учетом вышеуказанных замечаний.</w:t>
      </w:r>
    </w:p>
    <w:p w:rsidR="00B53A9E" w:rsidRDefault="00B53A9E" w:rsidP="00B71459">
      <w:pPr>
        <w:ind w:right="-82"/>
        <w:jc w:val="both"/>
        <w:rPr>
          <w:sz w:val="28"/>
          <w:szCs w:val="28"/>
        </w:rPr>
      </w:pPr>
    </w:p>
    <w:p w:rsidR="00B53A9E" w:rsidRPr="00546F46" w:rsidRDefault="00B53A9E" w:rsidP="00476EB6">
      <w:pPr>
        <w:ind w:firstLine="709"/>
        <w:jc w:val="both"/>
        <w:rPr>
          <w:b/>
          <w:bCs/>
          <w:sz w:val="28"/>
          <w:szCs w:val="28"/>
        </w:rPr>
      </w:pPr>
    </w:p>
    <w:p w:rsidR="00B53A9E" w:rsidRPr="00B419AC" w:rsidRDefault="00B53A9E" w:rsidP="007E1C50">
      <w:pPr>
        <w:tabs>
          <w:tab w:val="left" w:pos="2160"/>
        </w:tabs>
        <w:ind w:left="120" w:right="-1" w:hanging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B419AC">
        <w:rPr>
          <w:sz w:val="28"/>
          <w:szCs w:val="28"/>
        </w:rPr>
        <w:t xml:space="preserve">Ревизионной комиссии </w:t>
      </w:r>
    </w:p>
    <w:p w:rsidR="00B53A9E" w:rsidRDefault="00B53A9E" w:rsidP="00C23A92">
      <w:pPr>
        <w:tabs>
          <w:tab w:val="left" w:pos="2160"/>
        </w:tabs>
        <w:ind w:left="120" w:right="-1" w:hanging="1020"/>
        <w:jc w:val="both"/>
      </w:pPr>
      <w:r>
        <w:rPr>
          <w:sz w:val="28"/>
          <w:szCs w:val="28"/>
        </w:rPr>
        <w:t xml:space="preserve">             </w:t>
      </w:r>
      <w:r w:rsidRPr="00B419AC">
        <w:rPr>
          <w:sz w:val="28"/>
          <w:szCs w:val="28"/>
        </w:rPr>
        <w:t xml:space="preserve">МО Красноуфимский округ                                           </w:t>
      </w:r>
      <w:r>
        <w:rPr>
          <w:sz w:val="28"/>
          <w:szCs w:val="28"/>
        </w:rPr>
        <w:t xml:space="preserve">               </w:t>
      </w:r>
      <w:r w:rsidRPr="00B419AC">
        <w:rPr>
          <w:sz w:val="28"/>
          <w:szCs w:val="28"/>
        </w:rPr>
        <w:t xml:space="preserve">     </w:t>
      </w:r>
      <w:r>
        <w:rPr>
          <w:sz w:val="28"/>
          <w:szCs w:val="28"/>
        </w:rPr>
        <w:t>И.Г. Тебнева</w:t>
      </w:r>
    </w:p>
    <w:sectPr w:rsidR="00B53A9E" w:rsidSect="002B12F9">
      <w:headerReference w:type="default" r:id="rId7"/>
      <w:pgSz w:w="11906" w:h="16838"/>
      <w:pgMar w:top="71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9E" w:rsidRDefault="00B53A9E">
      <w:r>
        <w:separator/>
      </w:r>
    </w:p>
  </w:endnote>
  <w:endnote w:type="continuationSeparator" w:id="1">
    <w:p w:rsidR="00B53A9E" w:rsidRDefault="00B5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9E" w:rsidRDefault="00B53A9E">
      <w:r>
        <w:separator/>
      </w:r>
    </w:p>
  </w:footnote>
  <w:footnote w:type="continuationSeparator" w:id="1">
    <w:p w:rsidR="00B53A9E" w:rsidRDefault="00B5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E" w:rsidRDefault="00B53A9E" w:rsidP="002D485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53A9E" w:rsidRDefault="00B53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D2D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5570"/>
    <w:multiLevelType w:val="hybridMultilevel"/>
    <w:tmpl w:val="680C023C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2C2F234">
      <w:start w:val="1"/>
      <w:numFmt w:val="decimal"/>
      <w:lvlText w:val="%2."/>
      <w:lvlJc w:val="left"/>
      <w:pPr>
        <w:tabs>
          <w:tab w:val="num" w:pos="567"/>
        </w:tabs>
        <w:ind w:left="56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7"/>
        </w:tabs>
        <w:ind w:left="22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7"/>
        </w:tabs>
        <w:ind w:left="36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7"/>
        </w:tabs>
        <w:ind w:left="44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7"/>
        </w:tabs>
        <w:ind w:left="58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7"/>
        </w:tabs>
        <w:ind w:left="6567" w:hanging="360"/>
      </w:pPr>
    </w:lvl>
  </w:abstractNum>
  <w:abstractNum w:abstractNumId="2">
    <w:nsid w:val="5AEC49C8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B2F9E"/>
    <w:multiLevelType w:val="hybridMultilevel"/>
    <w:tmpl w:val="1F0EE58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B2EA2"/>
    <w:multiLevelType w:val="multilevel"/>
    <w:tmpl w:val="6AAE0B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079D9"/>
    <w:multiLevelType w:val="hybridMultilevel"/>
    <w:tmpl w:val="6AAE0B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5D8E4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347D3C"/>
    <w:multiLevelType w:val="hybridMultilevel"/>
    <w:tmpl w:val="5BAC6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EB6"/>
    <w:rsid w:val="00026547"/>
    <w:rsid w:val="000311C0"/>
    <w:rsid w:val="00040E1A"/>
    <w:rsid w:val="00057F28"/>
    <w:rsid w:val="0009032D"/>
    <w:rsid w:val="000C0FB9"/>
    <w:rsid w:val="000C1096"/>
    <w:rsid w:val="000D7A2E"/>
    <w:rsid w:val="000E4BAB"/>
    <w:rsid w:val="000F1E00"/>
    <w:rsid w:val="001578D0"/>
    <w:rsid w:val="0017210D"/>
    <w:rsid w:val="0018201D"/>
    <w:rsid w:val="00190489"/>
    <w:rsid w:val="00191429"/>
    <w:rsid w:val="001C53F1"/>
    <w:rsid w:val="001D4389"/>
    <w:rsid w:val="00205336"/>
    <w:rsid w:val="00205BBA"/>
    <w:rsid w:val="00206019"/>
    <w:rsid w:val="00213960"/>
    <w:rsid w:val="00223DCF"/>
    <w:rsid w:val="00225F4A"/>
    <w:rsid w:val="00237204"/>
    <w:rsid w:val="00256E02"/>
    <w:rsid w:val="002B12F9"/>
    <w:rsid w:val="002B5E18"/>
    <w:rsid w:val="002D485F"/>
    <w:rsid w:val="002D6CA4"/>
    <w:rsid w:val="002D765A"/>
    <w:rsid w:val="002E0C5B"/>
    <w:rsid w:val="002E2131"/>
    <w:rsid w:val="002E25DE"/>
    <w:rsid w:val="002E2942"/>
    <w:rsid w:val="002E6833"/>
    <w:rsid w:val="00302A27"/>
    <w:rsid w:val="00334BDF"/>
    <w:rsid w:val="00336A32"/>
    <w:rsid w:val="00342691"/>
    <w:rsid w:val="0039397F"/>
    <w:rsid w:val="003B5CE1"/>
    <w:rsid w:val="003C5A9C"/>
    <w:rsid w:val="003C74BD"/>
    <w:rsid w:val="003E3420"/>
    <w:rsid w:val="003F08F1"/>
    <w:rsid w:val="003F426D"/>
    <w:rsid w:val="00402A76"/>
    <w:rsid w:val="00423DF5"/>
    <w:rsid w:val="00441CC8"/>
    <w:rsid w:val="004443EA"/>
    <w:rsid w:val="00446FC2"/>
    <w:rsid w:val="00450CC2"/>
    <w:rsid w:val="004716CE"/>
    <w:rsid w:val="00476775"/>
    <w:rsid w:val="00476EB6"/>
    <w:rsid w:val="00477188"/>
    <w:rsid w:val="004811B4"/>
    <w:rsid w:val="004A2325"/>
    <w:rsid w:val="004A7705"/>
    <w:rsid w:val="004B02CC"/>
    <w:rsid w:val="004C133E"/>
    <w:rsid w:val="004D4B63"/>
    <w:rsid w:val="004D672F"/>
    <w:rsid w:val="004E0816"/>
    <w:rsid w:val="005075F6"/>
    <w:rsid w:val="0051318C"/>
    <w:rsid w:val="00522314"/>
    <w:rsid w:val="00523034"/>
    <w:rsid w:val="00525C04"/>
    <w:rsid w:val="00525FDF"/>
    <w:rsid w:val="0053085D"/>
    <w:rsid w:val="00531B72"/>
    <w:rsid w:val="0054118C"/>
    <w:rsid w:val="00545ABF"/>
    <w:rsid w:val="00546F46"/>
    <w:rsid w:val="005539E6"/>
    <w:rsid w:val="005633BA"/>
    <w:rsid w:val="00564F52"/>
    <w:rsid w:val="00574354"/>
    <w:rsid w:val="00593E90"/>
    <w:rsid w:val="005A1A86"/>
    <w:rsid w:val="005A294C"/>
    <w:rsid w:val="005A53FE"/>
    <w:rsid w:val="005C4C11"/>
    <w:rsid w:val="005D6740"/>
    <w:rsid w:val="005E74E5"/>
    <w:rsid w:val="00614755"/>
    <w:rsid w:val="00627EBE"/>
    <w:rsid w:val="00632983"/>
    <w:rsid w:val="00633EAB"/>
    <w:rsid w:val="00636105"/>
    <w:rsid w:val="00641C4E"/>
    <w:rsid w:val="00643EBB"/>
    <w:rsid w:val="00644A20"/>
    <w:rsid w:val="00670B04"/>
    <w:rsid w:val="0068176B"/>
    <w:rsid w:val="00692499"/>
    <w:rsid w:val="006C37B8"/>
    <w:rsid w:val="006F2B72"/>
    <w:rsid w:val="006F2DE4"/>
    <w:rsid w:val="00717F24"/>
    <w:rsid w:val="007204A4"/>
    <w:rsid w:val="007249AC"/>
    <w:rsid w:val="007319DD"/>
    <w:rsid w:val="00732BC6"/>
    <w:rsid w:val="00755BF0"/>
    <w:rsid w:val="007625EA"/>
    <w:rsid w:val="00781C13"/>
    <w:rsid w:val="007B7E51"/>
    <w:rsid w:val="007D1C84"/>
    <w:rsid w:val="007E1394"/>
    <w:rsid w:val="007E1C50"/>
    <w:rsid w:val="0080294E"/>
    <w:rsid w:val="00807775"/>
    <w:rsid w:val="00811144"/>
    <w:rsid w:val="008477D7"/>
    <w:rsid w:val="00852715"/>
    <w:rsid w:val="008668C6"/>
    <w:rsid w:val="00871B47"/>
    <w:rsid w:val="00872687"/>
    <w:rsid w:val="00872BFB"/>
    <w:rsid w:val="00877B5F"/>
    <w:rsid w:val="008877A7"/>
    <w:rsid w:val="0089304D"/>
    <w:rsid w:val="008A0206"/>
    <w:rsid w:val="008B7540"/>
    <w:rsid w:val="008C498F"/>
    <w:rsid w:val="008D62EE"/>
    <w:rsid w:val="008D656B"/>
    <w:rsid w:val="008D7EA9"/>
    <w:rsid w:val="008E2770"/>
    <w:rsid w:val="00917AE8"/>
    <w:rsid w:val="00924272"/>
    <w:rsid w:val="00964099"/>
    <w:rsid w:val="00966403"/>
    <w:rsid w:val="0097395E"/>
    <w:rsid w:val="00984A84"/>
    <w:rsid w:val="00992464"/>
    <w:rsid w:val="009A7C6D"/>
    <w:rsid w:val="009C0A97"/>
    <w:rsid w:val="009C10FD"/>
    <w:rsid w:val="009D0F0E"/>
    <w:rsid w:val="009D59D4"/>
    <w:rsid w:val="009E5A52"/>
    <w:rsid w:val="00A02C7E"/>
    <w:rsid w:val="00A0587C"/>
    <w:rsid w:val="00A060AC"/>
    <w:rsid w:val="00A13A81"/>
    <w:rsid w:val="00A20286"/>
    <w:rsid w:val="00A21D82"/>
    <w:rsid w:val="00A25E40"/>
    <w:rsid w:val="00A25EDC"/>
    <w:rsid w:val="00A625CE"/>
    <w:rsid w:val="00A76149"/>
    <w:rsid w:val="00AB1E3C"/>
    <w:rsid w:val="00AC3666"/>
    <w:rsid w:val="00AC7CD2"/>
    <w:rsid w:val="00AE071D"/>
    <w:rsid w:val="00AF1B18"/>
    <w:rsid w:val="00AF70A0"/>
    <w:rsid w:val="00B17D38"/>
    <w:rsid w:val="00B26064"/>
    <w:rsid w:val="00B30BA0"/>
    <w:rsid w:val="00B3318A"/>
    <w:rsid w:val="00B4007C"/>
    <w:rsid w:val="00B419AC"/>
    <w:rsid w:val="00B53A9E"/>
    <w:rsid w:val="00B71459"/>
    <w:rsid w:val="00B91AF0"/>
    <w:rsid w:val="00BC441D"/>
    <w:rsid w:val="00BC564E"/>
    <w:rsid w:val="00BD3995"/>
    <w:rsid w:val="00BD411E"/>
    <w:rsid w:val="00BF3317"/>
    <w:rsid w:val="00C22FD7"/>
    <w:rsid w:val="00C23A92"/>
    <w:rsid w:val="00C44CF3"/>
    <w:rsid w:val="00C779B2"/>
    <w:rsid w:val="00CB18FF"/>
    <w:rsid w:val="00CD2EA6"/>
    <w:rsid w:val="00CE3444"/>
    <w:rsid w:val="00CE67AC"/>
    <w:rsid w:val="00CE700B"/>
    <w:rsid w:val="00CE7B06"/>
    <w:rsid w:val="00D02F00"/>
    <w:rsid w:val="00D13338"/>
    <w:rsid w:val="00D13B34"/>
    <w:rsid w:val="00D26FDF"/>
    <w:rsid w:val="00D4415F"/>
    <w:rsid w:val="00D85945"/>
    <w:rsid w:val="00D9752B"/>
    <w:rsid w:val="00DB4F7A"/>
    <w:rsid w:val="00DC7E14"/>
    <w:rsid w:val="00DD30C4"/>
    <w:rsid w:val="00DD6359"/>
    <w:rsid w:val="00DE1A36"/>
    <w:rsid w:val="00DE62AA"/>
    <w:rsid w:val="00DE7603"/>
    <w:rsid w:val="00DF1FCA"/>
    <w:rsid w:val="00DF4D40"/>
    <w:rsid w:val="00DF5B4B"/>
    <w:rsid w:val="00E0535F"/>
    <w:rsid w:val="00E132FA"/>
    <w:rsid w:val="00E41855"/>
    <w:rsid w:val="00EA0B2D"/>
    <w:rsid w:val="00EC145C"/>
    <w:rsid w:val="00EC2C66"/>
    <w:rsid w:val="00EC4EC5"/>
    <w:rsid w:val="00EC64FE"/>
    <w:rsid w:val="00EE45F0"/>
    <w:rsid w:val="00EF6412"/>
    <w:rsid w:val="00F07D1C"/>
    <w:rsid w:val="00F134EB"/>
    <w:rsid w:val="00F304DC"/>
    <w:rsid w:val="00F43B1C"/>
    <w:rsid w:val="00F5021C"/>
    <w:rsid w:val="00F67118"/>
    <w:rsid w:val="00F70841"/>
    <w:rsid w:val="00F75EF8"/>
    <w:rsid w:val="00F9535F"/>
    <w:rsid w:val="00F965F7"/>
    <w:rsid w:val="00FC1822"/>
    <w:rsid w:val="00FD77FE"/>
    <w:rsid w:val="00F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B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476EB6"/>
    <w:pPr>
      <w:ind w:firstLine="708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6EB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6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6EB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76EB6"/>
    <w:pPr>
      <w:ind w:left="720"/>
    </w:pPr>
  </w:style>
  <w:style w:type="paragraph" w:styleId="Header">
    <w:name w:val="header"/>
    <w:basedOn w:val="Normal"/>
    <w:link w:val="HeaderChar"/>
    <w:uiPriority w:val="99"/>
    <w:rsid w:val="00F07D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4E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07D1C"/>
  </w:style>
  <w:style w:type="paragraph" w:styleId="BodyText">
    <w:name w:val="Body Text"/>
    <w:basedOn w:val="Normal"/>
    <w:link w:val="BodyTextChar"/>
    <w:uiPriority w:val="99"/>
    <w:rsid w:val="00E05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9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2294</TotalTime>
  <Pages>10</Pages>
  <Words>3437</Words>
  <Characters>19597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Ольга Викторовна</cp:lastModifiedBy>
  <cp:revision>40</cp:revision>
  <cp:lastPrinted>2014-05-19T11:32:00Z</cp:lastPrinted>
  <dcterms:created xsi:type="dcterms:W3CDTF">2013-11-16T08:32:00Z</dcterms:created>
  <dcterms:modified xsi:type="dcterms:W3CDTF">2014-05-19T11:44:00Z</dcterms:modified>
</cp:coreProperties>
</file>